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668C9" w14:textId="2B6982F7" w:rsidR="000D3C8A" w:rsidRPr="000D3C8A" w:rsidRDefault="000D3C8A" w:rsidP="00BA1E73">
      <w:pPr>
        <w:spacing w:line="360" w:lineRule="auto"/>
        <w:jc w:val="center"/>
        <w:rPr>
          <w:rFonts w:ascii="Times New Roman" w:hAnsi="Times New Roman" w:cs="Times New Roman"/>
          <w:sz w:val="28"/>
          <w:szCs w:val="28"/>
        </w:rPr>
      </w:pPr>
      <w:r w:rsidRPr="00FA5FF0">
        <w:rPr>
          <w:rFonts w:ascii="Times New Roman" w:hAnsi="Times New Roman" w:cs="Times New Roman"/>
          <w:sz w:val="28"/>
          <w:szCs w:val="28"/>
        </w:rPr>
        <w:t>ACUTE CHEST SYNDROME IN SCD IN PREGNANCY OR EVOLUTION OF VIRAL PNEUMONIA – A DIAGNOSTIC DILEMMA IN COVID-19 PANDEMIC</w:t>
      </w:r>
    </w:p>
    <w:p w14:paraId="71FD6812" w14:textId="559B21D9" w:rsidR="00BA1E73" w:rsidRPr="00BA1E73" w:rsidRDefault="00BA1E73" w:rsidP="00BA1E73">
      <w:pPr>
        <w:spacing w:line="240" w:lineRule="auto"/>
        <w:rPr>
          <w:rFonts w:ascii="Times New Roman" w:hAnsi="Times New Roman" w:cs="Times New Roman"/>
          <w:sz w:val="24"/>
          <w:szCs w:val="24"/>
        </w:rPr>
      </w:pPr>
      <w:proofErr w:type="spellStart"/>
      <w:r w:rsidRPr="00BA1E73">
        <w:rPr>
          <w:rFonts w:ascii="Times New Roman" w:hAnsi="Times New Roman" w:cs="Times New Roman"/>
          <w:sz w:val="24"/>
          <w:szCs w:val="24"/>
        </w:rPr>
        <w:t>Dr.</w:t>
      </w:r>
      <w:proofErr w:type="spellEnd"/>
      <w:r w:rsidRPr="00BA1E73">
        <w:rPr>
          <w:rFonts w:ascii="Times New Roman" w:hAnsi="Times New Roman" w:cs="Times New Roman"/>
          <w:sz w:val="24"/>
          <w:szCs w:val="24"/>
        </w:rPr>
        <w:t xml:space="preserve"> Deepthi </w:t>
      </w:r>
      <w:proofErr w:type="spellStart"/>
      <w:r w:rsidRPr="00BA1E73">
        <w:rPr>
          <w:rFonts w:ascii="Times New Roman" w:hAnsi="Times New Roman" w:cs="Times New Roman"/>
          <w:sz w:val="24"/>
          <w:szCs w:val="24"/>
        </w:rPr>
        <w:t>Leelia</w:t>
      </w:r>
      <w:proofErr w:type="spellEnd"/>
      <w:r w:rsidRPr="00BA1E73">
        <w:rPr>
          <w:rFonts w:ascii="Times New Roman" w:hAnsi="Times New Roman" w:cs="Times New Roman"/>
          <w:sz w:val="24"/>
          <w:szCs w:val="24"/>
        </w:rPr>
        <w:t xml:space="preserve"> </w:t>
      </w:r>
      <w:proofErr w:type="spellStart"/>
      <w:r w:rsidRPr="00BA1E73">
        <w:rPr>
          <w:rFonts w:ascii="Times New Roman" w:hAnsi="Times New Roman" w:cs="Times New Roman"/>
          <w:sz w:val="24"/>
          <w:szCs w:val="24"/>
        </w:rPr>
        <w:t>Betzy.R</w:t>
      </w:r>
      <w:proofErr w:type="spellEnd"/>
      <w:r w:rsidRPr="00BA1E73">
        <w:rPr>
          <w:rFonts w:ascii="Times New Roman" w:hAnsi="Times New Roman" w:cs="Times New Roman"/>
          <w:sz w:val="24"/>
          <w:szCs w:val="24"/>
        </w:rPr>
        <w:t xml:space="preserve">, PG Resident, </w:t>
      </w:r>
    </w:p>
    <w:p w14:paraId="015E3412" w14:textId="0B372DCD" w:rsidR="00BA1E73" w:rsidRPr="00BA1E73" w:rsidRDefault="00BA1E73" w:rsidP="00BA1E73">
      <w:pPr>
        <w:spacing w:line="240" w:lineRule="auto"/>
        <w:rPr>
          <w:rFonts w:ascii="Times New Roman" w:hAnsi="Times New Roman" w:cs="Times New Roman"/>
          <w:sz w:val="24"/>
          <w:szCs w:val="24"/>
        </w:rPr>
      </w:pPr>
      <w:proofErr w:type="spellStart"/>
      <w:r w:rsidRPr="00BA1E73">
        <w:rPr>
          <w:rFonts w:ascii="Times New Roman" w:hAnsi="Times New Roman" w:cs="Times New Roman"/>
          <w:sz w:val="24"/>
          <w:szCs w:val="24"/>
        </w:rPr>
        <w:t>Dr.</w:t>
      </w:r>
      <w:proofErr w:type="spellEnd"/>
      <w:r w:rsidRPr="00BA1E73">
        <w:rPr>
          <w:rFonts w:ascii="Times New Roman" w:hAnsi="Times New Roman" w:cs="Times New Roman"/>
          <w:sz w:val="24"/>
          <w:szCs w:val="24"/>
        </w:rPr>
        <w:t xml:space="preserve"> </w:t>
      </w:r>
      <w:proofErr w:type="spellStart"/>
      <w:r w:rsidRPr="00BA1E73">
        <w:rPr>
          <w:rFonts w:ascii="Times New Roman" w:hAnsi="Times New Roman" w:cs="Times New Roman"/>
          <w:sz w:val="24"/>
          <w:szCs w:val="24"/>
        </w:rPr>
        <w:t>Pushpawati</w:t>
      </w:r>
      <w:proofErr w:type="spellEnd"/>
      <w:r w:rsidRPr="00BA1E73">
        <w:rPr>
          <w:rFonts w:ascii="Times New Roman" w:hAnsi="Times New Roman" w:cs="Times New Roman"/>
          <w:sz w:val="24"/>
          <w:szCs w:val="24"/>
        </w:rPr>
        <w:t xml:space="preserve"> Thakur, Associate Professor,</w:t>
      </w:r>
    </w:p>
    <w:p w14:paraId="5EE4D8F4" w14:textId="70198179" w:rsidR="00BA1E73" w:rsidRPr="00BA1E73" w:rsidRDefault="00BA1E73" w:rsidP="00BA1E73">
      <w:pPr>
        <w:spacing w:line="240" w:lineRule="auto"/>
        <w:rPr>
          <w:rFonts w:ascii="Times New Roman" w:hAnsi="Times New Roman" w:cs="Times New Roman"/>
          <w:sz w:val="24"/>
          <w:szCs w:val="24"/>
        </w:rPr>
      </w:pPr>
      <w:proofErr w:type="spellStart"/>
      <w:r w:rsidRPr="00BA1E73">
        <w:rPr>
          <w:rFonts w:ascii="Times New Roman" w:hAnsi="Times New Roman" w:cs="Times New Roman"/>
          <w:sz w:val="24"/>
          <w:szCs w:val="24"/>
        </w:rPr>
        <w:t>Dr.</w:t>
      </w:r>
      <w:proofErr w:type="spellEnd"/>
      <w:r w:rsidRPr="00BA1E73">
        <w:rPr>
          <w:rFonts w:ascii="Times New Roman" w:hAnsi="Times New Roman" w:cs="Times New Roman"/>
          <w:sz w:val="24"/>
          <w:szCs w:val="24"/>
        </w:rPr>
        <w:t xml:space="preserve"> Sarita </w:t>
      </w:r>
      <w:proofErr w:type="spellStart"/>
      <w:r w:rsidRPr="00BA1E73">
        <w:rPr>
          <w:rFonts w:ascii="Times New Roman" w:hAnsi="Times New Roman" w:cs="Times New Roman"/>
          <w:sz w:val="24"/>
          <w:szCs w:val="24"/>
        </w:rPr>
        <w:t>Rajbhar</w:t>
      </w:r>
      <w:proofErr w:type="spellEnd"/>
      <w:r w:rsidRPr="00BA1E73">
        <w:rPr>
          <w:rFonts w:ascii="Times New Roman" w:hAnsi="Times New Roman" w:cs="Times New Roman"/>
          <w:sz w:val="24"/>
          <w:szCs w:val="24"/>
        </w:rPr>
        <w:t xml:space="preserve">, Assistant Professor, </w:t>
      </w:r>
    </w:p>
    <w:p w14:paraId="343BECD5" w14:textId="2275D6A9" w:rsidR="00BA1E73" w:rsidRDefault="00BA1E73" w:rsidP="00AA681C">
      <w:pPr>
        <w:spacing w:line="240" w:lineRule="auto"/>
        <w:rPr>
          <w:rFonts w:ascii="Times New Roman" w:hAnsi="Times New Roman" w:cs="Times New Roman"/>
          <w:sz w:val="24"/>
          <w:szCs w:val="24"/>
        </w:rPr>
      </w:pPr>
      <w:r w:rsidRPr="00BA1E73">
        <w:rPr>
          <w:rFonts w:ascii="Times New Roman" w:hAnsi="Times New Roman" w:cs="Times New Roman"/>
          <w:sz w:val="24"/>
          <w:szCs w:val="24"/>
        </w:rPr>
        <w:t xml:space="preserve">Department of Obstetrics and </w:t>
      </w:r>
      <w:proofErr w:type="spellStart"/>
      <w:r w:rsidRPr="00BA1E73">
        <w:rPr>
          <w:rFonts w:ascii="Times New Roman" w:hAnsi="Times New Roman" w:cs="Times New Roman"/>
          <w:sz w:val="24"/>
          <w:szCs w:val="24"/>
        </w:rPr>
        <w:t>Gynecology</w:t>
      </w:r>
      <w:proofErr w:type="spellEnd"/>
      <w:r w:rsidRPr="00BA1E73">
        <w:rPr>
          <w:rFonts w:ascii="Times New Roman" w:hAnsi="Times New Roman" w:cs="Times New Roman"/>
          <w:sz w:val="24"/>
          <w:szCs w:val="24"/>
        </w:rPr>
        <w:t>, All India Institute of Medical Sciences (C.G)</w:t>
      </w:r>
    </w:p>
    <w:p w14:paraId="1DB8D9ED" w14:textId="77777777" w:rsidR="00AA681C" w:rsidRPr="00AA681C" w:rsidRDefault="00AA681C" w:rsidP="00AA681C">
      <w:pPr>
        <w:spacing w:line="240" w:lineRule="auto"/>
        <w:rPr>
          <w:rFonts w:ascii="Times New Roman" w:hAnsi="Times New Roman" w:cs="Times New Roman"/>
          <w:sz w:val="24"/>
          <w:szCs w:val="24"/>
        </w:rPr>
      </w:pPr>
    </w:p>
    <w:p w14:paraId="7B2EC98C" w14:textId="3101FC61" w:rsidR="000D3C8A" w:rsidRPr="00FA5FF0" w:rsidRDefault="000D3C8A" w:rsidP="00BA1E73">
      <w:pPr>
        <w:spacing w:line="360" w:lineRule="auto"/>
        <w:rPr>
          <w:rFonts w:ascii="Times New Roman" w:hAnsi="Times New Roman" w:cs="Times New Roman"/>
          <w:b/>
          <w:bCs/>
          <w:sz w:val="24"/>
          <w:szCs w:val="24"/>
        </w:rPr>
      </w:pPr>
      <w:r w:rsidRPr="00FA5FF0">
        <w:rPr>
          <w:rFonts w:ascii="Times New Roman" w:hAnsi="Times New Roman" w:cs="Times New Roman"/>
          <w:b/>
          <w:bCs/>
          <w:sz w:val="24"/>
          <w:szCs w:val="24"/>
        </w:rPr>
        <w:t>INTRODUCTION:-</w:t>
      </w:r>
    </w:p>
    <w:p w14:paraId="112C26D9" w14:textId="77777777" w:rsidR="000D3C8A" w:rsidRPr="00E439D5" w:rsidRDefault="000D3C8A" w:rsidP="00BA1E73">
      <w:pPr>
        <w:spacing w:line="360" w:lineRule="auto"/>
        <w:rPr>
          <w:rFonts w:ascii="Times New Roman" w:hAnsi="Times New Roman" w:cs="Times New Roman"/>
          <w:b/>
          <w:bCs/>
          <w:sz w:val="24"/>
          <w:szCs w:val="24"/>
        </w:rPr>
      </w:pPr>
      <w:r>
        <w:rPr>
          <w:rFonts w:ascii="Times New Roman" w:hAnsi="Times New Roman" w:cs="Times New Roman"/>
          <w:sz w:val="24"/>
          <w:szCs w:val="24"/>
        </w:rPr>
        <w:t xml:space="preserve">Sickle </w:t>
      </w:r>
      <w:r w:rsidRPr="00FC53B7">
        <w:rPr>
          <w:rFonts w:ascii="Times New Roman" w:hAnsi="Times New Roman" w:cs="Times New Roman"/>
          <w:sz w:val="24"/>
          <w:szCs w:val="24"/>
        </w:rPr>
        <w:t xml:space="preserve">cell disease (SCD), as an Autosomal Recessive hemoglobinopathy, is a multiorgan disease characterised by </w:t>
      </w:r>
      <w:proofErr w:type="spellStart"/>
      <w:r w:rsidRPr="00FC53B7">
        <w:rPr>
          <w:rFonts w:ascii="Times New Roman" w:hAnsi="Times New Roman" w:cs="Times New Roman"/>
          <w:sz w:val="24"/>
          <w:szCs w:val="24"/>
        </w:rPr>
        <w:t>vaso</w:t>
      </w:r>
      <w:proofErr w:type="spellEnd"/>
      <w:r w:rsidRPr="00FC53B7">
        <w:rPr>
          <w:rFonts w:ascii="Times New Roman" w:hAnsi="Times New Roman" w:cs="Times New Roman"/>
          <w:sz w:val="24"/>
          <w:szCs w:val="24"/>
        </w:rPr>
        <w:t>-occlusive crises and chronic anaemia</w:t>
      </w:r>
      <w:r w:rsidRPr="00FC53B7">
        <w:rPr>
          <w:rFonts w:ascii="Times New Roman" w:hAnsi="Times New Roman" w:cs="Times New Roman"/>
          <w:sz w:val="24"/>
          <w:szCs w:val="24"/>
          <w:vertAlign w:val="superscript"/>
        </w:rPr>
        <w:t>1</w:t>
      </w:r>
      <w:r w:rsidRPr="00FC53B7">
        <w:rPr>
          <w:rFonts w:ascii="Times New Roman" w:hAnsi="Times New Roman" w:cs="Times New Roman"/>
          <w:sz w:val="24"/>
          <w:szCs w:val="24"/>
        </w:rPr>
        <w:t>. It is one of the most common genetic disorders globally with over 300,000 children born with the condition each year</w:t>
      </w:r>
      <w:r w:rsidRPr="00FC53B7">
        <w:rPr>
          <w:rFonts w:ascii="Times New Roman" w:hAnsi="Times New Roman" w:cs="Times New Roman"/>
          <w:sz w:val="24"/>
          <w:szCs w:val="24"/>
          <w:vertAlign w:val="superscript"/>
        </w:rPr>
        <w:t>2</w:t>
      </w:r>
      <w:r w:rsidRPr="00FC53B7">
        <w:rPr>
          <w:rFonts w:ascii="Times New Roman" w:hAnsi="Times New Roman" w:cs="Times New Roman"/>
          <w:sz w:val="24"/>
          <w:szCs w:val="24"/>
        </w:rPr>
        <w:t>. Acute chest syndrome (ACS) is a leading cause of death for patients with SCD. It is defined as a new radiodensity on chest radiograph accompanied by fever and/or respiratory symptoms. Viral infections are a common trigger for ACS in paediatric sickle cell patients. The incidence of viral infections causing ACS in adults is less than 10%</w:t>
      </w:r>
      <w:r w:rsidRPr="00FC53B7">
        <w:rPr>
          <w:rFonts w:ascii="Times New Roman" w:hAnsi="Times New Roman" w:cs="Times New Roman"/>
          <w:sz w:val="24"/>
          <w:szCs w:val="24"/>
          <w:vertAlign w:val="superscript"/>
        </w:rPr>
        <w:t>3</w:t>
      </w:r>
      <w:r w:rsidRPr="00FC53B7">
        <w:rPr>
          <w:rFonts w:ascii="Times New Roman" w:hAnsi="Times New Roman" w:cs="Times New Roman"/>
          <w:sz w:val="24"/>
          <w:szCs w:val="24"/>
        </w:rPr>
        <w:t xml:space="preserve">. </w:t>
      </w:r>
      <w:r w:rsidRPr="00FA5FF0">
        <w:rPr>
          <w:rFonts w:ascii="Times New Roman" w:hAnsi="Times New Roman" w:cs="Times New Roman"/>
          <w:sz w:val="24"/>
          <w:szCs w:val="24"/>
        </w:rPr>
        <w:t>Pregnancies with sickle cell disease are associated with an almost eightfold increased pulmonary</w:t>
      </w:r>
      <w:r>
        <w:rPr>
          <w:rFonts w:ascii="Times New Roman" w:hAnsi="Times New Roman" w:cs="Times New Roman"/>
          <w:sz w:val="24"/>
          <w:szCs w:val="24"/>
        </w:rPr>
        <w:t xml:space="preserve"> </w:t>
      </w:r>
      <w:r w:rsidRPr="00FA5FF0">
        <w:rPr>
          <w:rFonts w:ascii="Times New Roman" w:hAnsi="Times New Roman" w:cs="Times New Roman"/>
          <w:sz w:val="24"/>
          <w:szCs w:val="24"/>
        </w:rPr>
        <w:t>complications</w:t>
      </w:r>
      <w:r w:rsidRPr="00FA5FF0">
        <w:rPr>
          <w:rFonts w:ascii="Times New Roman" w:hAnsi="Times New Roman" w:cs="Times New Roman"/>
          <w:sz w:val="24"/>
          <w:szCs w:val="24"/>
          <w:vertAlign w:val="superscript"/>
        </w:rPr>
        <w:t>4</w:t>
      </w:r>
      <w:r w:rsidRPr="00FA5FF0">
        <w:rPr>
          <w:rFonts w:ascii="Times New Roman" w:hAnsi="Times New Roman" w:cs="Times New Roman"/>
          <w:sz w:val="24"/>
          <w:szCs w:val="24"/>
        </w:rPr>
        <w:t>.</w:t>
      </w:r>
    </w:p>
    <w:p w14:paraId="41D48A34" w14:textId="637C9A39" w:rsidR="000D3C8A" w:rsidRDefault="000D3C8A" w:rsidP="000D3C8A">
      <w:pPr>
        <w:spacing w:line="360" w:lineRule="auto"/>
        <w:rPr>
          <w:rFonts w:ascii="Times New Roman" w:hAnsi="Times New Roman" w:cs="Times New Roman"/>
          <w:sz w:val="24"/>
          <w:szCs w:val="24"/>
          <w:lang w:val="en-US"/>
        </w:rPr>
      </w:pPr>
      <w:r w:rsidRPr="00FC53B7">
        <w:rPr>
          <w:rFonts w:ascii="Times New Roman" w:hAnsi="Times New Roman" w:cs="Times New Roman"/>
          <w:sz w:val="24"/>
          <w:szCs w:val="24"/>
        </w:rPr>
        <w:t xml:space="preserve">The lack of comprehensive data on </w:t>
      </w:r>
      <w:r>
        <w:rPr>
          <w:rFonts w:ascii="Times New Roman" w:hAnsi="Times New Roman" w:cs="Times New Roman"/>
          <w:sz w:val="24"/>
          <w:szCs w:val="24"/>
        </w:rPr>
        <w:t xml:space="preserve">pulmonary complications </w:t>
      </w:r>
      <w:r w:rsidRPr="00FC53B7">
        <w:rPr>
          <w:rFonts w:ascii="Times New Roman" w:hAnsi="Times New Roman" w:cs="Times New Roman"/>
          <w:sz w:val="24"/>
          <w:szCs w:val="24"/>
        </w:rPr>
        <w:t>for pregnant women with SCD and the scattered case reports suggesting vira</w:t>
      </w:r>
      <w:r>
        <w:rPr>
          <w:rFonts w:ascii="Times New Roman" w:hAnsi="Times New Roman" w:cs="Times New Roman"/>
          <w:sz w:val="24"/>
          <w:szCs w:val="24"/>
        </w:rPr>
        <w:t xml:space="preserve">l infection </w:t>
      </w:r>
      <w:r w:rsidRPr="00FC53B7">
        <w:rPr>
          <w:rFonts w:ascii="Times New Roman" w:hAnsi="Times New Roman" w:cs="Times New Roman"/>
          <w:sz w:val="24"/>
          <w:szCs w:val="24"/>
        </w:rPr>
        <w:t xml:space="preserve">could trigger ACS in adults have led to difficulties in clinical care pathways, which becomes significant in the COVID-19 Pandemic, especially for high prevalence region like </w:t>
      </w:r>
      <w:proofErr w:type="spellStart"/>
      <w:r w:rsidRPr="00FC53B7">
        <w:rPr>
          <w:rFonts w:ascii="Times New Roman" w:hAnsi="Times New Roman" w:cs="Times New Roman"/>
          <w:sz w:val="24"/>
          <w:szCs w:val="24"/>
        </w:rPr>
        <w:t>Chattisgarh</w:t>
      </w:r>
      <w:proofErr w:type="spellEnd"/>
      <w:r w:rsidRPr="00FC53B7">
        <w:rPr>
          <w:rFonts w:ascii="Times New Roman" w:hAnsi="Times New Roman" w:cs="Times New Roman"/>
          <w:sz w:val="24"/>
          <w:szCs w:val="24"/>
        </w:rPr>
        <w:t>.</w:t>
      </w:r>
    </w:p>
    <w:p w14:paraId="07118979" w14:textId="4690F359" w:rsidR="000D3C8A" w:rsidRPr="000D3C8A" w:rsidRDefault="000D3C8A" w:rsidP="000D3C8A">
      <w:pPr>
        <w:spacing w:line="360" w:lineRule="auto"/>
        <w:rPr>
          <w:rFonts w:ascii="Times New Roman" w:hAnsi="Times New Roman" w:cs="Times New Roman"/>
          <w:sz w:val="24"/>
          <w:szCs w:val="24"/>
          <w:lang w:val="en-US"/>
        </w:rPr>
      </w:pPr>
      <w:r w:rsidRPr="00FA5FF0">
        <w:rPr>
          <w:rFonts w:ascii="Times New Roman" w:hAnsi="Times New Roman" w:cs="Times New Roman"/>
          <w:b/>
          <w:bCs/>
          <w:sz w:val="24"/>
          <w:szCs w:val="24"/>
        </w:rPr>
        <w:t>CASE REPORT:-</w:t>
      </w:r>
    </w:p>
    <w:p w14:paraId="46D3A9CB" w14:textId="77777777" w:rsidR="000D3C8A" w:rsidRPr="00FA5FF0" w:rsidRDefault="000D3C8A" w:rsidP="000D3C8A">
      <w:pPr>
        <w:spacing w:line="360" w:lineRule="auto"/>
        <w:rPr>
          <w:rFonts w:ascii="Times New Roman" w:hAnsi="Times New Roman" w:cs="Times New Roman"/>
          <w:sz w:val="24"/>
          <w:szCs w:val="24"/>
        </w:rPr>
      </w:pPr>
      <w:r w:rsidRPr="00FA5FF0">
        <w:rPr>
          <w:rFonts w:ascii="Times New Roman" w:hAnsi="Times New Roman" w:cs="Times New Roman"/>
          <w:sz w:val="24"/>
          <w:szCs w:val="24"/>
        </w:rPr>
        <w:t xml:space="preserve">A 34 year old woman, third gravida with 2 abortions at 34 weeks of gestation with known case of Sickle Cell Disease (SCD) presented to AIIMS Emergency ward with complaints of sudden onset of shortness of breath for 1 day with a history of pain in arms and legs 10 days back. She was apparently well 10 days back after which she developed severe pain in arms and legs and lab values were suggestive of severe anaemia. Her pain relieved after initial supportive therapy and 3 pints of blood transfusion at outside hospital. There was no fever or cough.  She was diagnosed with SCD at 10 years of age and her prior history was notable for episodes of painful crisis requiring multiple blood transfusions, IV Ig and Hydroxyurea </w:t>
      </w:r>
      <w:r w:rsidRPr="00FA5FF0">
        <w:rPr>
          <w:rFonts w:ascii="Times New Roman" w:hAnsi="Times New Roman" w:cs="Times New Roman"/>
          <w:sz w:val="24"/>
          <w:szCs w:val="24"/>
        </w:rPr>
        <w:lastRenderedPageBreak/>
        <w:t xml:space="preserve">therapy. At the presentation, dyspnoea and hypoxia (SpO2 94%) were observed and was corrected with 5 litres/min of supplemental oxygen (continued intermittently for next 5 days). A chest X-ray was done at admission which showed ill-defined heterogenous opacifications (possibly consolidation) and a SARS-COV-2 PCR nasopharyngeal swab testing was positive. She was started on an empirical course of Azithromycin and Ceftriaxone. She was also managed with Inj. LMWH and Inj. Dexamethasone in view of moderate COVID-19 infection. </w:t>
      </w:r>
    </w:p>
    <w:p w14:paraId="4125AB7C" w14:textId="77777777" w:rsidR="000D3C8A" w:rsidRPr="00FA5FF0" w:rsidRDefault="000D3C8A" w:rsidP="000D3C8A">
      <w:pPr>
        <w:spacing w:line="360" w:lineRule="auto"/>
        <w:rPr>
          <w:rFonts w:ascii="Times New Roman" w:hAnsi="Times New Roman" w:cs="Times New Roman"/>
          <w:sz w:val="24"/>
          <w:szCs w:val="24"/>
        </w:rPr>
      </w:pPr>
      <w:r w:rsidRPr="00FA5FF0">
        <w:rPr>
          <w:rFonts w:ascii="Times New Roman" w:hAnsi="Times New Roman" w:cs="Times New Roman"/>
          <w:sz w:val="24"/>
          <w:szCs w:val="24"/>
        </w:rPr>
        <w:t>However, on hospital day 10, she developed new onset of cough and fever with worsening of dyspnoea (SpO2 94%) correcting with 4 litres/min of supplemental oxygen. Her lab investigations began to show evidence of haemolysis with a decrease in haemoglobin (8.4 gm%), increase in</w:t>
      </w:r>
      <w:r w:rsidRPr="00FA5FF0">
        <w:rPr>
          <w:rFonts w:ascii="Times New Roman" w:hAnsi="Times New Roman" w:cs="Times New Roman"/>
          <w:sz w:val="18"/>
          <w:szCs w:val="18"/>
        </w:rPr>
        <w:t xml:space="preserve"> </w:t>
      </w:r>
      <w:r w:rsidRPr="00FA5FF0">
        <w:rPr>
          <w:rFonts w:ascii="Times New Roman" w:hAnsi="Times New Roman" w:cs="Times New Roman"/>
          <w:sz w:val="24"/>
          <w:szCs w:val="24"/>
        </w:rPr>
        <w:t xml:space="preserve">total bilirubin 2.25 mg/dL (unconjugated 1.24 mg/dL); and an increase in LDH (895 U/L). There was also evidence of an acute inflammatory response marked by elevated CRP (274 mg/L), elevated IL-6 (102.6 </w:t>
      </w:r>
      <w:proofErr w:type="spellStart"/>
      <w:r w:rsidRPr="00FA5FF0">
        <w:rPr>
          <w:rFonts w:ascii="Times New Roman" w:hAnsi="Times New Roman" w:cs="Times New Roman"/>
          <w:sz w:val="24"/>
          <w:szCs w:val="24"/>
        </w:rPr>
        <w:t>pg</w:t>
      </w:r>
      <w:proofErr w:type="spellEnd"/>
      <w:r w:rsidRPr="00FA5FF0">
        <w:rPr>
          <w:rFonts w:ascii="Times New Roman" w:hAnsi="Times New Roman" w:cs="Times New Roman"/>
          <w:sz w:val="24"/>
          <w:szCs w:val="24"/>
        </w:rPr>
        <w:t>/ml), raised ferritin (&gt;1650 ng/ml) and D-Dimer (1154 ng/mL). A repeat Chest X-ray was done on day 10, which was suggestive of an increase in heterogenous opacity and haziness in mid and lower lobes possibly due to consolidation. There was also a marked increase in Total counts (33.0 x 10</w:t>
      </w:r>
      <w:r w:rsidRPr="00FA5FF0">
        <w:rPr>
          <w:rFonts w:ascii="Times New Roman" w:hAnsi="Times New Roman" w:cs="Times New Roman"/>
          <w:sz w:val="24"/>
          <w:szCs w:val="24"/>
          <w:vertAlign w:val="superscript"/>
        </w:rPr>
        <w:t>3</w:t>
      </w:r>
      <w:r w:rsidRPr="00FA5FF0">
        <w:rPr>
          <w:rFonts w:ascii="Times New Roman" w:hAnsi="Times New Roman" w:cs="Times New Roman"/>
          <w:sz w:val="24"/>
          <w:szCs w:val="24"/>
        </w:rPr>
        <w:t xml:space="preserve">/ microlitre) with a neutrophilic shift (92.8%) and a growth of E.coli on blood culture and urine culture. A baseline ECG was done which showed sinus tachycardia. </w:t>
      </w:r>
    </w:p>
    <w:p w14:paraId="5D308C9C" w14:textId="77777777" w:rsidR="000D3C8A" w:rsidRPr="00FA5FF0" w:rsidRDefault="000D3C8A" w:rsidP="000D3C8A">
      <w:pPr>
        <w:spacing w:line="360" w:lineRule="auto"/>
        <w:rPr>
          <w:rFonts w:ascii="Times New Roman" w:hAnsi="Times New Roman" w:cs="Times New Roman"/>
          <w:sz w:val="24"/>
          <w:szCs w:val="24"/>
        </w:rPr>
      </w:pPr>
      <w:r w:rsidRPr="00FA5FF0">
        <w:rPr>
          <w:rFonts w:ascii="Times New Roman" w:hAnsi="Times New Roman" w:cs="Times New Roman"/>
          <w:sz w:val="24"/>
          <w:szCs w:val="24"/>
        </w:rPr>
        <w:t xml:space="preserve">Although these lab values were inconclusive and can be seen overlapping with conditions like </w:t>
      </w:r>
      <w:proofErr w:type="spellStart"/>
      <w:r w:rsidRPr="00FA5FF0">
        <w:rPr>
          <w:rFonts w:ascii="Times New Roman" w:hAnsi="Times New Roman" w:cs="Times New Roman"/>
          <w:sz w:val="24"/>
          <w:szCs w:val="24"/>
        </w:rPr>
        <w:t>vaso</w:t>
      </w:r>
      <w:proofErr w:type="spellEnd"/>
      <w:r w:rsidRPr="00FA5FF0">
        <w:rPr>
          <w:rFonts w:ascii="Times New Roman" w:hAnsi="Times New Roman" w:cs="Times New Roman"/>
          <w:sz w:val="24"/>
          <w:szCs w:val="24"/>
        </w:rPr>
        <w:t xml:space="preserve">-occlusive crisis, thromboembolic event, acute chest syndrome and ongoing pneumonia, her clinical presentation with subsequent Chest X-ray features, leucocytosis and a positive blood culture were consistent with ACS and ongoing pneumonia. Hence, a working diagnosis of Sickle Cell Disease (SCD) with Acute Chest Syndrome (ACS) complicated with COVID (viral) pneumonia and secondary bacterial infection was made and in view of her worsening respiratory and clinical status, she was started on Hydroxychloroquine, Piperacillin- Tazobactam, and one pint blood transfusion. She was also started on Labetalol for mild pre-eclampsia (new onset HTN and proteinuria). </w:t>
      </w:r>
    </w:p>
    <w:p w14:paraId="2A8F3156" w14:textId="43608792" w:rsidR="000D3C8A" w:rsidRPr="00FA5FF0" w:rsidRDefault="000D3C8A" w:rsidP="000D3C8A">
      <w:pPr>
        <w:spacing w:line="360" w:lineRule="auto"/>
        <w:rPr>
          <w:rFonts w:ascii="Times New Roman" w:hAnsi="Times New Roman" w:cs="Times New Roman"/>
          <w:sz w:val="24"/>
          <w:szCs w:val="24"/>
        </w:rPr>
      </w:pPr>
      <w:r w:rsidRPr="00FA5FF0">
        <w:rPr>
          <w:rFonts w:ascii="Times New Roman" w:hAnsi="Times New Roman" w:cs="Times New Roman"/>
          <w:sz w:val="24"/>
          <w:szCs w:val="24"/>
        </w:rPr>
        <w:t xml:space="preserve">Meanwhile, on day 12, she went into spontaneous preterm labour and an emergency LSCS was done in view of </w:t>
      </w:r>
      <w:proofErr w:type="spellStart"/>
      <w:r w:rsidRPr="00FA5FF0">
        <w:rPr>
          <w:rFonts w:ascii="Times New Roman" w:hAnsi="Times New Roman" w:cs="Times New Roman"/>
          <w:sz w:val="24"/>
          <w:szCs w:val="24"/>
        </w:rPr>
        <w:t>fetal</w:t>
      </w:r>
      <w:proofErr w:type="spellEnd"/>
      <w:r w:rsidRPr="00FA5FF0">
        <w:rPr>
          <w:rFonts w:ascii="Times New Roman" w:hAnsi="Times New Roman" w:cs="Times New Roman"/>
          <w:sz w:val="24"/>
          <w:szCs w:val="24"/>
        </w:rPr>
        <w:t xml:space="preserve"> distress. Post-operatively, she was continued on intermittent supplemental oxygen, started on </w:t>
      </w:r>
      <w:proofErr w:type="spellStart"/>
      <w:r w:rsidRPr="00FA5FF0">
        <w:rPr>
          <w:rFonts w:ascii="Times New Roman" w:hAnsi="Times New Roman" w:cs="Times New Roman"/>
          <w:sz w:val="24"/>
          <w:szCs w:val="24"/>
        </w:rPr>
        <w:t>Amoxy-Clav</w:t>
      </w:r>
      <w:proofErr w:type="spellEnd"/>
      <w:r w:rsidRPr="00FA5FF0">
        <w:rPr>
          <w:rFonts w:ascii="Times New Roman" w:hAnsi="Times New Roman" w:cs="Times New Roman"/>
          <w:sz w:val="24"/>
          <w:szCs w:val="24"/>
        </w:rPr>
        <w:t xml:space="preserve"> and one pint blood transfusion. On day 16, her symptoms relieved, her room air oxygen saturation improved to 98% with an improvement in lab values (decrease in total counts and decrease in haemolysis). Her subsequent SARS-</w:t>
      </w:r>
      <w:r w:rsidRPr="00FA5FF0">
        <w:rPr>
          <w:rFonts w:ascii="Times New Roman" w:hAnsi="Times New Roman" w:cs="Times New Roman"/>
          <w:sz w:val="24"/>
          <w:szCs w:val="24"/>
        </w:rPr>
        <w:lastRenderedPageBreak/>
        <w:t>COV-2 PCR nasopharyngeal swab testing on day 19 was negative and her follow up Chest X-ray showed resolution of findings except for subtle haziness in lower zone. Baby’s COVID status was also negative. Patient is currently under follow-up.</w:t>
      </w:r>
    </w:p>
    <w:p w14:paraId="526482F6" w14:textId="77777777" w:rsidR="000D3C8A" w:rsidRPr="00FA5FF0" w:rsidRDefault="000D3C8A" w:rsidP="000D3C8A">
      <w:pPr>
        <w:spacing w:line="360" w:lineRule="auto"/>
        <w:rPr>
          <w:rFonts w:ascii="Times New Roman" w:hAnsi="Times New Roman" w:cs="Times New Roman"/>
          <w:sz w:val="24"/>
          <w:szCs w:val="24"/>
        </w:rPr>
      </w:pPr>
      <w:r w:rsidRPr="005F675B">
        <w:rPr>
          <w:rFonts w:ascii="Times New Roman" w:hAnsi="Times New Roman" w:cs="Times New Roman"/>
          <w:noProof/>
          <w:sz w:val="24"/>
          <w:szCs w:val="24"/>
        </w:rPr>
        <w:drawing>
          <wp:inline distT="0" distB="0" distL="0" distR="0" wp14:anchorId="67E55384" wp14:editId="63C1D0E2">
            <wp:extent cx="1913467" cy="2148328"/>
            <wp:effectExtent l="0" t="0" r="0" b="4445"/>
            <wp:docPr id="4" name="Content Placeholder 9">
              <a:extLst xmlns:a="http://schemas.openxmlformats.org/drawingml/2006/main">
                <a:ext uri="{FF2B5EF4-FFF2-40B4-BE49-F238E27FC236}">
                  <a16:creationId xmlns:a16="http://schemas.microsoft.com/office/drawing/2014/main" id="{28D32DC8-F4D2-466A-8A27-99DC4F64E27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9">
                      <a:extLst>
                        <a:ext uri="{FF2B5EF4-FFF2-40B4-BE49-F238E27FC236}">
                          <a16:creationId xmlns:a16="http://schemas.microsoft.com/office/drawing/2014/main" id="{28D32DC8-F4D2-466A-8A27-99DC4F64E27A}"/>
                        </a:ext>
                      </a:extLst>
                    </pic:cNvPr>
                    <pic:cNvPicPr>
                      <a:picLocks noGrp="1" noChangeAspect="1"/>
                    </pic:cNvPicPr>
                  </pic:nvPicPr>
                  <pic:blipFill>
                    <a:blip r:embed="rId5"/>
                    <a:stretch>
                      <a:fillRect/>
                    </a:stretch>
                  </pic:blipFill>
                  <pic:spPr>
                    <a:xfrm>
                      <a:off x="0" y="0"/>
                      <a:ext cx="1954803" cy="2194737"/>
                    </a:xfrm>
                    <a:prstGeom prst="rect">
                      <a:avLst/>
                    </a:prstGeom>
                  </pic:spPr>
                </pic:pic>
              </a:graphicData>
            </a:graphic>
          </wp:inline>
        </w:drawing>
      </w:r>
      <w:r w:rsidRPr="005F675B">
        <w:rPr>
          <w:noProof/>
        </w:rPr>
        <w:t xml:space="preserve"> </w:t>
      </w:r>
      <w:r>
        <w:rPr>
          <w:noProof/>
        </w:rPr>
        <w:drawing>
          <wp:inline distT="0" distB="0" distL="0" distR="0" wp14:anchorId="1D775774" wp14:editId="0662BF75">
            <wp:extent cx="1871133" cy="2151539"/>
            <wp:effectExtent l="0" t="0" r="0" b="1270"/>
            <wp:docPr id="5" name="Content Placeholder 11">
              <a:extLst xmlns:a="http://schemas.openxmlformats.org/drawingml/2006/main">
                <a:ext uri="{FF2B5EF4-FFF2-40B4-BE49-F238E27FC236}">
                  <a16:creationId xmlns:a16="http://schemas.microsoft.com/office/drawing/2014/main" id="{E0CE4018-3ACF-437C-9C88-F6FC04321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11">
                      <a:extLst>
                        <a:ext uri="{FF2B5EF4-FFF2-40B4-BE49-F238E27FC236}">
                          <a16:creationId xmlns:a16="http://schemas.microsoft.com/office/drawing/2014/main" id="{E0CE4018-3ACF-437C-9C88-F6FC0432169C}"/>
                        </a:ext>
                      </a:extLst>
                    </pic:cNvPr>
                    <pic:cNvPicPr>
                      <a:picLocks noChangeAspect="1"/>
                    </pic:cNvPicPr>
                  </pic:nvPicPr>
                  <pic:blipFill>
                    <a:blip r:embed="rId6"/>
                    <a:stretch>
                      <a:fillRect/>
                    </a:stretch>
                  </pic:blipFill>
                  <pic:spPr>
                    <a:xfrm>
                      <a:off x="0" y="0"/>
                      <a:ext cx="1890528" cy="2173841"/>
                    </a:xfrm>
                    <a:prstGeom prst="rect">
                      <a:avLst/>
                    </a:prstGeom>
                  </pic:spPr>
                </pic:pic>
              </a:graphicData>
            </a:graphic>
          </wp:inline>
        </w:drawing>
      </w:r>
      <w:r w:rsidRPr="005F675B">
        <w:rPr>
          <w:noProof/>
        </w:rPr>
        <w:t xml:space="preserve"> </w:t>
      </w:r>
      <w:r>
        <w:rPr>
          <w:noProof/>
        </w:rPr>
        <w:drawing>
          <wp:inline distT="0" distB="0" distL="0" distR="0" wp14:anchorId="15579577" wp14:editId="5C0DC547">
            <wp:extent cx="1845733" cy="2146607"/>
            <wp:effectExtent l="0" t="0" r="2540" b="6350"/>
            <wp:docPr id="6" name="Content Placeholder 6">
              <a:extLst xmlns:a="http://schemas.openxmlformats.org/drawingml/2006/main">
                <a:ext uri="{FF2B5EF4-FFF2-40B4-BE49-F238E27FC236}">
                  <a16:creationId xmlns:a16="http://schemas.microsoft.com/office/drawing/2014/main" id="{467190B2-9DC2-4DE4-A296-4B04E616A3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6">
                      <a:extLst>
                        <a:ext uri="{FF2B5EF4-FFF2-40B4-BE49-F238E27FC236}">
                          <a16:creationId xmlns:a16="http://schemas.microsoft.com/office/drawing/2014/main" id="{467190B2-9DC2-4DE4-A296-4B04E616A348}"/>
                        </a:ext>
                      </a:extLst>
                    </pic:cNvPr>
                    <pic:cNvPicPr>
                      <a:picLocks noChangeAspect="1"/>
                    </pic:cNvPicPr>
                  </pic:nvPicPr>
                  <pic:blipFill>
                    <a:blip r:embed="rId7"/>
                    <a:stretch>
                      <a:fillRect/>
                    </a:stretch>
                  </pic:blipFill>
                  <pic:spPr>
                    <a:xfrm>
                      <a:off x="0" y="0"/>
                      <a:ext cx="1870281" cy="2175156"/>
                    </a:xfrm>
                    <a:prstGeom prst="rect">
                      <a:avLst/>
                    </a:prstGeom>
                  </pic:spPr>
                </pic:pic>
              </a:graphicData>
            </a:graphic>
          </wp:inline>
        </w:drawing>
      </w:r>
    </w:p>
    <w:p w14:paraId="75010595" w14:textId="77777777" w:rsidR="000D3C8A" w:rsidRDefault="000D3C8A" w:rsidP="000D3C8A">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RADIOLOGICAL IMAGES- </w:t>
      </w:r>
      <w:r w:rsidRPr="005F675B">
        <w:rPr>
          <w:rFonts w:ascii="Times New Roman" w:hAnsi="Times New Roman" w:cs="Times New Roman"/>
          <w:b/>
          <w:bCs/>
          <w:sz w:val="24"/>
          <w:szCs w:val="24"/>
        </w:rPr>
        <w:t>Prog</w:t>
      </w:r>
      <w:r>
        <w:rPr>
          <w:rFonts w:ascii="Times New Roman" w:hAnsi="Times New Roman" w:cs="Times New Roman"/>
          <w:b/>
          <w:bCs/>
          <w:sz w:val="24"/>
          <w:szCs w:val="24"/>
        </w:rPr>
        <w:t>r</w:t>
      </w:r>
      <w:r w:rsidRPr="005F675B">
        <w:rPr>
          <w:rFonts w:ascii="Times New Roman" w:hAnsi="Times New Roman" w:cs="Times New Roman"/>
          <w:b/>
          <w:bCs/>
          <w:sz w:val="24"/>
          <w:szCs w:val="24"/>
        </w:rPr>
        <w:t>ession of Acute Chest Syndrome/ COVID-19 pneumonia and response to treatment. A). Chest X-ray on day 1 with ill-defined heterogenous opacification with air bronchogram noted in left mid and lower zones. B). Chest X-ray on day 10 showing increase in heterogenous opacity and haziness in left mid and lower zones possibly due to consolidation. C). Chest X-ray on day 22 with resolution of findings except for subtle haziness in left lower zone.</w:t>
      </w:r>
    </w:p>
    <w:p w14:paraId="43402CC0" w14:textId="77777777" w:rsidR="000D3C8A" w:rsidRPr="00FA5FF0" w:rsidRDefault="000D3C8A" w:rsidP="000D3C8A">
      <w:pPr>
        <w:spacing w:line="360" w:lineRule="auto"/>
        <w:rPr>
          <w:rFonts w:ascii="Times New Roman" w:hAnsi="Times New Roman" w:cs="Times New Roman"/>
          <w:b/>
          <w:bCs/>
          <w:sz w:val="24"/>
          <w:szCs w:val="24"/>
        </w:rPr>
      </w:pPr>
      <w:r w:rsidRPr="00FA5FF0">
        <w:rPr>
          <w:rFonts w:ascii="Times New Roman" w:hAnsi="Times New Roman" w:cs="Times New Roman"/>
          <w:b/>
          <w:bCs/>
          <w:sz w:val="24"/>
          <w:szCs w:val="24"/>
        </w:rPr>
        <w:t>DISCUSSION:-</w:t>
      </w:r>
    </w:p>
    <w:p w14:paraId="100192E7" w14:textId="77777777" w:rsidR="000D3C8A" w:rsidRPr="00FA5FF0" w:rsidRDefault="000D3C8A" w:rsidP="000D3C8A">
      <w:pPr>
        <w:spacing w:line="360" w:lineRule="auto"/>
        <w:rPr>
          <w:rFonts w:ascii="Times New Roman" w:hAnsi="Times New Roman" w:cs="Times New Roman"/>
          <w:sz w:val="24"/>
          <w:szCs w:val="24"/>
        </w:rPr>
      </w:pPr>
      <w:r w:rsidRPr="00FA5FF0">
        <w:rPr>
          <w:rFonts w:ascii="Times New Roman" w:hAnsi="Times New Roman" w:cs="Times New Roman"/>
          <w:sz w:val="24"/>
          <w:szCs w:val="24"/>
        </w:rPr>
        <w:t>Viral infections are a common cause of Acute Chest Syndrome (ACS) in paediatric sickle cell patients. However, the incidence of viral infections inciting ACS in adult sickle cell patients has been reported to be seen in less than 10% of cases</w:t>
      </w:r>
      <w:r w:rsidRPr="00FA5FF0">
        <w:rPr>
          <w:rFonts w:ascii="Times New Roman" w:hAnsi="Times New Roman" w:cs="Times New Roman"/>
          <w:sz w:val="24"/>
          <w:szCs w:val="24"/>
          <w:vertAlign w:val="superscript"/>
        </w:rPr>
        <w:t>3,5</w:t>
      </w:r>
      <w:r w:rsidRPr="00FA5FF0">
        <w:rPr>
          <w:rFonts w:ascii="Times New Roman" w:hAnsi="Times New Roman" w:cs="Times New Roman"/>
          <w:sz w:val="24"/>
          <w:szCs w:val="24"/>
        </w:rPr>
        <w:t xml:space="preserve">. </w:t>
      </w:r>
      <w:r w:rsidRPr="00FA5FF0">
        <w:rPr>
          <w:rFonts w:ascii="Times New Roman" w:hAnsi="Times New Roman" w:cs="Times New Roman"/>
          <w:sz w:val="24"/>
          <w:szCs w:val="24"/>
          <w:lang w:val="en-US"/>
        </w:rPr>
        <w:t>The World Health Organization (WHO) recently declared SARS‐CoV‐2 (COVID-19) infection a pandemic</w:t>
      </w:r>
      <w:r w:rsidRPr="00FA5FF0">
        <w:rPr>
          <w:rFonts w:ascii="Times New Roman" w:hAnsi="Times New Roman" w:cs="Times New Roman"/>
          <w:sz w:val="24"/>
          <w:szCs w:val="24"/>
          <w:vertAlign w:val="superscript"/>
          <w:lang w:val="en-US"/>
        </w:rPr>
        <w:t>6</w:t>
      </w:r>
      <w:r w:rsidRPr="00FA5FF0">
        <w:rPr>
          <w:rFonts w:ascii="Times New Roman" w:hAnsi="Times New Roman" w:cs="Times New Roman"/>
          <w:sz w:val="24"/>
          <w:szCs w:val="24"/>
          <w:lang w:val="en-US"/>
        </w:rPr>
        <w:t xml:space="preserve">. </w:t>
      </w:r>
      <w:r w:rsidRPr="00FA5FF0">
        <w:rPr>
          <w:rFonts w:ascii="Times New Roman" w:hAnsi="Times New Roman" w:cs="Times New Roman"/>
          <w:sz w:val="24"/>
          <w:szCs w:val="24"/>
        </w:rPr>
        <w:t>Viral pandemics are of particular risk to vulnerable SCD patients, h</w:t>
      </w:r>
      <w:proofErr w:type="spellStart"/>
      <w:r w:rsidRPr="00FA5FF0">
        <w:rPr>
          <w:rFonts w:ascii="Times New Roman" w:hAnsi="Times New Roman" w:cs="Times New Roman"/>
          <w:sz w:val="24"/>
          <w:szCs w:val="24"/>
          <w:lang w:val="en-US"/>
        </w:rPr>
        <w:t>owever</w:t>
      </w:r>
      <w:proofErr w:type="spellEnd"/>
      <w:r w:rsidRPr="00FA5FF0">
        <w:rPr>
          <w:rFonts w:ascii="Times New Roman" w:hAnsi="Times New Roman" w:cs="Times New Roman"/>
          <w:sz w:val="24"/>
          <w:szCs w:val="24"/>
          <w:lang w:val="en-US"/>
        </w:rPr>
        <w:t xml:space="preserve">, data </w:t>
      </w:r>
      <w:r w:rsidRPr="00FA5FF0">
        <w:rPr>
          <w:rFonts w:ascii="Times New Roman" w:hAnsi="Times New Roman" w:cs="Times New Roman"/>
          <w:sz w:val="24"/>
          <w:szCs w:val="24"/>
        </w:rPr>
        <w:t>from previous pandemics is both limited and conflicting. On literature search, no evidence about SCD patients and 2002 SARS-COV outbreak exist and sparse evidence about SCD patients and 2009 H1N1 influenza pandemic exists</w:t>
      </w:r>
      <w:r w:rsidRPr="00FA5FF0">
        <w:rPr>
          <w:rFonts w:ascii="Times New Roman" w:hAnsi="Times New Roman" w:cs="Times New Roman"/>
          <w:sz w:val="24"/>
          <w:szCs w:val="24"/>
          <w:vertAlign w:val="superscript"/>
        </w:rPr>
        <w:t>7</w:t>
      </w:r>
      <w:r w:rsidRPr="00FA5FF0">
        <w:rPr>
          <w:rFonts w:ascii="Times New Roman" w:hAnsi="Times New Roman" w:cs="Times New Roman"/>
          <w:sz w:val="24"/>
          <w:szCs w:val="24"/>
        </w:rPr>
        <w:t xml:space="preserve">. As COVID-19 is an emerging disease, there is scarcity of data on how the pandemic may complicate SCD patients. In SCD, COVID‐19 can potentially cause severe (pulmonary) complications, either by directly causing severe pneumonia or by triggering a Vaso-occlusive crisis and/or Acute chest syndrome (ACS). There are very few literature on pulmonary infection by COVID-19 in SCD, considering its short time of history. In a recent meta-analysis report, it was observed that the prevalence of ACS is 6.46% for </w:t>
      </w:r>
      <w:r w:rsidRPr="00FA5FF0">
        <w:rPr>
          <w:rFonts w:ascii="Times New Roman" w:hAnsi="Times New Roman" w:cs="Times New Roman"/>
          <w:sz w:val="24"/>
          <w:szCs w:val="24"/>
        </w:rPr>
        <w:lastRenderedPageBreak/>
        <w:t>women with SCD during pregnancy</w:t>
      </w:r>
      <w:r w:rsidRPr="00FA5FF0">
        <w:rPr>
          <w:rFonts w:ascii="Times New Roman" w:hAnsi="Times New Roman" w:cs="Times New Roman"/>
          <w:sz w:val="24"/>
          <w:szCs w:val="24"/>
          <w:vertAlign w:val="superscript"/>
        </w:rPr>
        <w:t>4</w:t>
      </w:r>
      <w:r w:rsidRPr="00FA5FF0">
        <w:rPr>
          <w:rFonts w:ascii="Times New Roman" w:hAnsi="Times New Roman" w:cs="Times New Roman"/>
          <w:sz w:val="24"/>
          <w:szCs w:val="24"/>
        </w:rPr>
        <w:t>. Another recent systematic review on maternal and perinatal outcomes in COVID-19 showed that although there were some cases of severe maternal and perinatal morbidity, majority had a favourable outcome</w:t>
      </w:r>
      <w:r w:rsidRPr="00FA5FF0">
        <w:rPr>
          <w:rFonts w:ascii="Times New Roman" w:hAnsi="Times New Roman" w:cs="Times New Roman"/>
          <w:sz w:val="24"/>
          <w:szCs w:val="24"/>
          <w:vertAlign w:val="superscript"/>
        </w:rPr>
        <w:t>8</w:t>
      </w:r>
      <w:r w:rsidRPr="00FA5FF0">
        <w:rPr>
          <w:rFonts w:ascii="Times New Roman" w:hAnsi="Times New Roman" w:cs="Times New Roman"/>
          <w:sz w:val="24"/>
          <w:szCs w:val="24"/>
        </w:rPr>
        <w:t xml:space="preserve">. </w:t>
      </w:r>
    </w:p>
    <w:p w14:paraId="276D5088" w14:textId="77777777" w:rsidR="000D3C8A" w:rsidRPr="00FA5FF0" w:rsidRDefault="000D3C8A" w:rsidP="000D3C8A">
      <w:pPr>
        <w:spacing w:line="360" w:lineRule="auto"/>
        <w:rPr>
          <w:rFonts w:ascii="Times New Roman" w:hAnsi="Times New Roman" w:cs="Times New Roman"/>
          <w:sz w:val="24"/>
          <w:szCs w:val="24"/>
        </w:rPr>
      </w:pPr>
      <w:r w:rsidRPr="00FA5FF0">
        <w:rPr>
          <w:rFonts w:ascii="Times New Roman" w:hAnsi="Times New Roman" w:cs="Times New Roman"/>
          <w:sz w:val="24"/>
          <w:szCs w:val="24"/>
        </w:rPr>
        <w:t xml:space="preserve">The ACS episodes in adults with SCD are often clearly preceded by a prodrome of </w:t>
      </w:r>
      <w:proofErr w:type="spellStart"/>
      <w:r w:rsidRPr="00FA5FF0">
        <w:rPr>
          <w:rFonts w:ascii="Times New Roman" w:hAnsi="Times New Roman" w:cs="Times New Roman"/>
          <w:sz w:val="24"/>
          <w:szCs w:val="24"/>
        </w:rPr>
        <w:t>vaso</w:t>
      </w:r>
      <w:proofErr w:type="spellEnd"/>
      <w:r w:rsidRPr="00FA5FF0">
        <w:rPr>
          <w:rFonts w:ascii="Times New Roman" w:hAnsi="Times New Roman" w:cs="Times New Roman"/>
          <w:sz w:val="24"/>
          <w:szCs w:val="24"/>
        </w:rPr>
        <w:t xml:space="preserve">-occlusive pain episode like chest pain, arm and leg pain. </w:t>
      </w:r>
      <w:proofErr w:type="spellStart"/>
      <w:r w:rsidRPr="00FA5FF0">
        <w:rPr>
          <w:rFonts w:ascii="Times New Roman" w:hAnsi="Times New Roman" w:cs="Times New Roman"/>
          <w:sz w:val="24"/>
          <w:szCs w:val="24"/>
        </w:rPr>
        <w:t>Upto</w:t>
      </w:r>
      <w:proofErr w:type="spellEnd"/>
      <w:r w:rsidRPr="00FA5FF0">
        <w:rPr>
          <w:rFonts w:ascii="Times New Roman" w:hAnsi="Times New Roman" w:cs="Times New Roman"/>
          <w:sz w:val="24"/>
          <w:szCs w:val="24"/>
        </w:rPr>
        <w:t xml:space="preserve"> one-fifth of adults with a history of ACS can develop a rapidly progressive ACS characterised by respiratory failure and multi-organ failure</w:t>
      </w:r>
      <w:r w:rsidRPr="00FA5FF0">
        <w:rPr>
          <w:rFonts w:ascii="Times New Roman" w:hAnsi="Times New Roman" w:cs="Times New Roman"/>
          <w:sz w:val="24"/>
          <w:szCs w:val="24"/>
          <w:vertAlign w:val="superscript"/>
        </w:rPr>
        <w:t>9</w:t>
      </w:r>
      <w:r w:rsidRPr="00FA5FF0">
        <w:rPr>
          <w:rFonts w:ascii="Times New Roman" w:hAnsi="Times New Roman" w:cs="Times New Roman"/>
          <w:sz w:val="24"/>
          <w:szCs w:val="24"/>
        </w:rPr>
        <w:t xml:space="preserve">. </w:t>
      </w:r>
    </w:p>
    <w:p w14:paraId="27B7361E" w14:textId="77777777" w:rsidR="000D3C8A" w:rsidRPr="00FA5FF0" w:rsidRDefault="000D3C8A" w:rsidP="000D3C8A">
      <w:pPr>
        <w:spacing w:line="360" w:lineRule="auto"/>
        <w:rPr>
          <w:rFonts w:ascii="Times New Roman" w:hAnsi="Times New Roman" w:cs="Times New Roman"/>
          <w:sz w:val="24"/>
          <w:szCs w:val="24"/>
        </w:rPr>
      </w:pPr>
      <w:r w:rsidRPr="00FA5FF0">
        <w:rPr>
          <w:rFonts w:ascii="Times New Roman" w:hAnsi="Times New Roman" w:cs="Times New Roman"/>
          <w:sz w:val="24"/>
          <w:szCs w:val="24"/>
        </w:rPr>
        <w:t>There is a significant overlap between clinical presentation of ACS with pulmonary thromboembolism, pneumonia or even acute coronary syndrome. Although a patient with pulmonary embolus may present with shortness of breath and chest pain similar to ACS, pulmonary emboli will typically have a chest radiograph negative for new radiodensities</w:t>
      </w:r>
      <w:r w:rsidRPr="00FA5FF0">
        <w:rPr>
          <w:rFonts w:ascii="Times New Roman" w:hAnsi="Times New Roman" w:cs="Times New Roman"/>
          <w:sz w:val="24"/>
          <w:szCs w:val="24"/>
          <w:vertAlign w:val="superscript"/>
        </w:rPr>
        <w:t>9,10</w:t>
      </w:r>
      <w:r w:rsidRPr="00FA5FF0">
        <w:rPr>
          <w:rFonts w:ascii="Times New Roman" w:hAnsi="Times New Roman" w:cs="Times New Roman"/>
          <w:sz w:val="24"/>
          <w:szCs w:val="24"/>
        </w:rPr>
        <w:t xml:space="preserve">. Also, a </w:t>
      </w:r>
      <w:proofErr w:type="spellStart"/>
      <w:r w:rsidRPr="00FA5FF0">
        <w:rPr>
          <w:rFonts w:ascii="Times New Roman" w:hAnsi="Times New Roman" w:cs="Times New Roman"/>
          <w:sz w:val="24"/>
          <w:szCs w:val="24"/>
        </w:rPr>
        <w:t>vaso</w:t>
      </w:r>
      <w:proofErr w:type="spellEnd"/>
      <w:r w:rsidRPr="00FA5FF0">
        <w:rPr>
          <w:rFonts w:ascii="Times New Roman" w:hAnsi="Times New Roman" w:cs="Times New Roman"/>
          <w:sz w:val="24"/>
          <w:szCs w:val="24"/>
        </w:rPr>
        <w:t xml:space="preserve">-occlusive pain episode is more suggestive of ACS than a pulmonary embolus. In this patient, pulmonary embolus was less likely suspected as there was typical chest radiographic features of consolidation. Although pulmonary embolus was less likely suspected, she was started on thromboprophylaxis with low molecular weight heparin (LMWH), as the risk of embolus formation is still high in patients with SCD and ACS.  </w:t>
      </w:r>
    </w:p>
    <w:p w14:paraId="3AA3E607" w14:textId="77777777" w:rsidR="000D3C8A" w:rsidRPr="00FA5FF0" w:rsidRDefault="000D3C8A" w:rsidP="000D3C8A">
      <w:pPr>
        <w:spacing w:line="360" w:lineRule="auto"/>
        <w:rPr>
          <w:rFonts w:ascii="Times New Roman" w:hAnsi="Times New Roman" w:cs="Times New Roman"/>
          <w:sz w:val="24"/>
          <w:szCs w:val="24"/>
        </w:rPr>
      </w:pPr>
      <w:r w:rsidRPr="00FA5FF0">
        <w:rPr>
          <w:rFonts w:ascii="Times New Roman" w:hAnsi="Times New Roman" w:cs="Times New Roman"/>
          <w:sz w:val="24"/>
          <w:szCs w:val="24"/>
        </w:rPr>
        <w:t xml:space="preserve">There are limited data regarding features that suggest a myocardial damage in individuals with SCD. However, an initial baseline evaluation has to be done in any SCD patient presenting with acute chest pain to rule out myocardial infarction. In our case scenario, a baseline ECG was done which showed sinus tachycardia without ischaemic changes. </w:t>
      </w:r>
    </w:p>
    <w:p w14:paraId="1152AAA7" w14:textId="1A5B0703" w:rsidR="000D3C8A" w:rsidRPr="004817D0" w:rsidRDefault="000D3C8A" w:rsidP="000D3C8A">
      <w:pPr>
        <w:spacing w:line="360" w:lineRule="auto"/>
        <w:rPr>
          <w:rFonts w:ascii="Times New Roman" w:hAnsi="Times New Roman" w:cs="Times New Roman"/>
          <w:sz w:val="24"/>
          <w:szCs w:val="24"/>
        </w:rPr>
      </w:pPr>
      <w:r w:rsidRPr="00FA5FF0">
        <w:rPr>
          <w:rFonts w:ascii="Times New Roman" w:hAnsi="Times New Roman" w:cs="Times New Roman"/>
          <w:sz w:val="24"/>
          <w:szCs w:val="24"/>
        </w:rPr>
        <w:t>It is also understood that ACS is a separate clinical entity to pneumonia with a different pathophysiology. However, clinically the differentiation of ACS from pneumonia can be difficult and challenging. Therefore, empiric antibiotic therapy should be considered in treatment apart from the initial measures for ACS</w:t>
      </w:r>
      <w:r w:rsidRPr="00FA5FF0">
        <w:rPr>
          <w:rFonts w:ascii="Times New Roman" w:hAnsi="Times New Roman" w:cs="Times New Roman"/>
          <w:sz w:val="24"/>
          <w:szCs w:val="24"/>
          <w:vertAlign w:val="superscript"/>
        </w:rPr>
        <w:t>9,11</w:t>
      </w:r>
      <w:r w:rsidRPr="00FA5FF0">
        <w:rPr>
          <w:rFonts w:ascii="Times New Roman" w:hAnsi="Times New Roman" w:cs="Times New Roman"/>
          <w:sz w:val="24"/>
          <w:szCs w:val="24"/>
        </w:rPr>
        <w:t xml:space="preserve">. This patient presented with a history of </w:t>
      </w:r>
      <w:proofErr w:type="spellStart"/>
      <w:r w:rsidRPr="00FA5FF0">
        <w:rPr>
          <w:rFonts w:ascii="Times New Roman" w:hAnsi="Times New Roman" w:cs="Times New Roman"/>
          <w:sz w:val="24"/>
          <w:szCs w:val="24"/>
        </w:rPr>
        <w:t>vaso</w:t>
      </w:r>
      <w:proofErr w:type="spellEnd"/>
      <w:r w:rsidRPr="00FA5FF0">
        <w:rPr>
          <w:rFonts w:ascii="Times New Roman" w:hAnsi="Times New Roman" w:cs="Times New Roman"/>
          <w:sz w:val="24"/>
          <w:szCs w:val="24"/>
        </w:rPr>
        <w:t xml:space="preserve">-occlusive pain episode relieved after blood transfusions and initial supportive therapy. There were also multiple overlapping features of both ACS and COVID pneumonia in this patient like elevation of LDH, elevation of D-Dimer and non-specific chest radiograph findings. Hence, an initial working diagnosis of SCD with ACS, progressing to pneumonia was made. She was managed with 4 L/ min of supplemental oxygen therapy, Dexamethasone, blood transfusion, low molecular weight heparin </w:t>
      </w:r>
      <w:r w:rsidR="003C7B03" w:rsidRPr="00FC53B7">
        <w:rPr>
          <w:rFonts w:ascii="Times New Roman" w:hAnsi="Times New Roman" w:cs="Times New Roman"/>
          <w:sz w:val="24"/>
          <w:szCs w:val="24"/>
        </w:rPr>
        <w:t>(</w:t>
      </w:r>
      <w:r w:rsidR="003C7B03">
        <w:rPr>
          <w:rFonts w:ascii="Times New Roman" w:hAnsi="Times New Roman" w:cs="Times New Roman"/>
          <w:sz w:val="24"/>
          <w:szCs w:val="24"/>
        </w:rPr>
        <w:t>in view of both COVID infection and SCD</w:t>
      </w:r>
      <w:r w:rsidR="003C7B03" w:rsidRPr="00FC53B7">
        <w:rPr>
          <w:rFonts w:ascii="Times New Roman" w:hAnsi="Times New Roman" w:cs="Times New Roman"/>
          <w:sz w:val="24"/>
          <w:szCs w:val="24"/>
        </w:rPr>
        <w:t xml:space="preserve"> thromboprophylaxis) </w:t>
      </w:r>
      <w:r w:rsidRPr="00FA5FF0">
        <w:rPr>
          <w:rFonts w:ascii="Times New Roman" w:hAnsi="Times New Roman" w:cs="Times New Roman"/>
          <w:sz w:val="24"/>
          <w:szCs w:val="24"/>
        </w:rPr>
        <w:t>and also antibiotic coverage.</w:t>
      </w:r>
      <w:r>
        <w:rPr>
          <w:rFonts w:ascii="Times New Roman" w:hAnsi="Times New Roman" w:cs="Times New Roman"/>
          <w:sz w:val="24"/>
          <w:szCs w:val="24"/>
        </w:rPr>
        <w:t xml:space="preserve"> She was also managed with Hydroxychloroquine</w:t>
      </w:r>
      <w:r w:rsidR="004817D0">
        <w:rPr>
          <w:rFonts w:ascii="Times New Roman" w:hAnsi="Times New Roman" w:cs="Times New Roman"/>
          <w:sz w:val="24"/>
          <w:szCs w:val="24"/>
        </w:rPr>
        <w:t xml:space="preserve"> </w:t>
      </w:r>
      <w:r w:rsidR="004817D0" w:rsidRPr="004817D0">
        <w:rPr>
          <w:rFonts w:ascii="Times New Roman" w:hAnsi="Times New Roman" w:cs="Times New Roman"/>
          <w:sz w:val="24"/>
          <w:szCs w:val="24"/>
        </w:rPr>
        <w:t>(as per the revised ICMR protocol for moderate COVID-19 infection).</w:t>
      </w:r>
      <w:r w:rsidR="004817D0">
        <w:rPr>
          <w:rFonts w:ascii="Times New Roman" w:hAnsi="Times New Roman" w:cs="Times New Roman"/>
          <w:sz w:val="24"/>
          <w:szCs w:val="24"/>
        </w:rPr>
        <w:t xml:space="preserve"> </w:t>
      </w:r>
      <w:r w:rsidRPr="00FA5FF0">
        <w:rPr>
          <w:rFonts w:ascii="Times New Roman" w:hAnsi="Times New Roman" w:cs="Times New Roman"/>
          <w:sz w:val="24"/>
          <w:szCs w:val="24"/>
        </w:rPr>
        <w:lastRenderedPageBreak/>
        <w:t>A significant improvement in the clinical status was observed in this patient after initiation of blood transfusion and other supportive therapy. There was also no significant abnormality or COVID-19 infection noted in the baby</w:t>
      </w:r>
      <w:r w:rsidR="004817D0">
        <w:rPr>
          <w:rFonts w:ascii="Times New Roman" w:hAnsi="Times New Roman" w:cs="Times New Roman"/>
          <w:sz w:val="24"/>
          <w:szCs w:val="24"/>
        </w:rPr>
        <w:t>.</w:t>
      </w:r>
    </w:p>
    <w:p w14:paraId="266792A7" w14:textId="11C6C3D0" w:rsidR="000D3C8A" w:rsidRPr="00FA5FF0" w:rsidRDefault="000D3C8A" w:rsidP="000D3C8A">
      <w:pPr>
        <w:spacing w:line="360" w:lineRule="auto"/>
        <w:rPr>
          <w:rFonts w:ascii="Times New Roman" w:hAnsi="Times New Roman" w:cs="Times New Roman"/>
          <w:b/>
          <w:bCs/>
          <w:sz w:val="24"/>
          <w:szCs w:val="24"/>
        </w:rPr>
      </w:pPr>
      <w:r w:rsidRPr="00FA5FF0">
        <w:rPr>
          <w:rFonts w:ascii="Times New Roman" w:hAnsi="Times New Roman" w:cs="Times New Roman"/>
          <w:b/>
          <w:bCs/>
          <w:sz w:val="24"/>
          <w:szCs w:val="24"/>
        </w:rPr>
        <w:t>CONCLUSION:-</w:t>
      </w:r>
    </w:p>
    <w:p w14:paraId="6E71D812" w14:textId="1C234027" w:rsidR="000D3C8A" w:rsidRPr="00FA5FF0" w:rsidRDefault="000D3C8A" w:rsidP="000D3C8A">
      <w:pPr>
        <w:spacing w:line="360" w:lineRule="auto"/>
        <w:rPr>
          <w:rFonts w:ascii="Times New Roman" w:hAnsi="Times New Roman" w:cs="Times New Roman"/>
          <w:sz w:val="24"/>
          <w:szCs w:val="24"/>
        </w:rPr>
      </w:pPr>
      <w:r w:rsidRPr="00FA5FF0">
        <w:rPr>
          <w:rFonts w:ascii="Times New Roman" w:hAnsi="Times New Roman" w:cs="Times New Roman"/>
          <w:sz w:val="24"/>
          <w:szCs w:val="24"/>
        </w:rPr>
        <w:t xml:space="preserve">Based on the literature evidence of higher likelihood of ACS in SCD patients during the previous H1N1 outbreak, there is a possibility that SCD patients are at higher risk of ACS from COVID-19 as well. Although viral infections causing ACS in adult SCD patients are lesser, the risk of such complications should be anticipated, especially in those with a prior history of </w:t>
      </w:r>
      <w:proofErr w:type="spellStart"/>
      <w:r w:rsidRPr="00FA5FF0">
        <w:rPr>
          <w:rFonts w:ascii="Times New Roman" w:hAnsi="Times New Roman" w:cs="Times New Roman"/>
          <w:sz w:val="24"/>
          <w:szCs w:val="24"/>
        </w:rPr>
        <w:t>vaso</w:t>
      </w:r>
      <w:proofErr w:type="spellEnd"/>
      <w:r w:rsidRPr="00FA5FF0">
        <w:rPr>
          <w:rFonts w:ascii="Times New Roman" w:hAnsi="Times New Roman" w:cs="Times New Roman"/>
          <w:sz w:val="24"/>
          <w:szCs w:val="24"/>
        </w:rPr>
        <w:t xml:space="preserve">-occlusive pain crisis or pulmonary comorbidities. Case reports with </w:t>
      </w:r>
      <w:proofErr w:type="spellStart"/>
      <w:r w:rsidRPr="00FA5FF0">
        <w:rPr>
          <w:rFonts w:ascii="Times New Roman" w:hAnsi="Times New Roman" w:cs="Times New Roman"/>
          <w:sz w:val="24"/>
          <w:szCs w:val="24"/>
        </w:rPr>
        <w:t>vaso</w:t>
      </w:r>
      <w:proofErr w:type="spellEnd"/>
      <w:r w:rsidRPr="00FA5FF0">
        <w:rPr>
          <w:rFonts w:ascii="Times New Roman" w:hAnsi="Times New Roman" w:cs="Times New Roman"/>
          <w:sz w:val="24"/>
          <w:szCs w:val="24"/>
        </w:rPr>
        <w:t>-occlusion and/or ACS caused by SARS-CoV-2 demonstrate that consideration of this infection, with rapid diagnosis and intervention, can result in excellent recovery</w:t>
      </w:r>
      <w:r w:rsidRPr="00FA5FF0">
        <w:rPr>
          <w:rFonts w:ascii="Times New Roman" w:hAnsi="Times New Roman" w:cs="Times New Roman"/>
          <w:sz w:val="24"/>
          <w:szCs w:val="24"/>
          <w:vertAlign w:val="superscript"/>
        </w:rPr>
        <w:t>12</w:t>
      </w:r>
      <w:r w:rsidRPr="00FA5FF0">
        <w:rPr>
          <w:rFonts w:ascii="Times New Roman" w:hAnsi="Times New Roman" w:cs="Times New Roman"/>
          <w:sz w:val="24"/>
          <w:szCs w:val="24"/>
        </w:rPr>
        <w:t xml:space="preserve">. </w:t>
      </w:r>
      <w:r w:rsidR="007679D2" w:rsidRPr="007679D2">
        <w:rPr>
          <w:rFonts w:ascii="Times New Roman" w:hAnsi="Times New Roman" w:cs="Times New Roman"/>
          <w:sz w:val="24"/>
          <w:szCs w:val="24"/>
        </w:rPr>
        <w:t>Also, in moderate COVID infection, an early and excellent recovery can be seen in patients treated with Dexamethasone and LMWH with</w:t>
      </w:r>
      <w:r w:rsidR="007679D2">
        <w:rPr>
          <w:rFonts w:ascii="Times New Roman" w:hAnsi="Times New Roman" w:cs="Times New Roman"/>
          <w:sz w:val="24"/>
          <w:szCs w:val="24"/>
        </w:rPr>
        <w:t xml:space="preserve"> or </w:t>
      </w:r>
      <w:r w:rsidR="007679D2" w:rsidRPr="007679D2">
        <w:rPr>
          <w:rFonts w:ascii="Times New Roman" w:hAnsi="Times New Roman" w:cs="Times New Roman"/>
          <w:sz w:val="24"/>
          <w:szCs w:val="24"/>
        </w:rPr>
        <w:t xml:space="preserve">without Antiviral drugs. </w:t>
      </w:r>
      <w:r w:rsidRPr="00FA5FF0">
        <w:rPr>
          <w:rFonts w:ascii="Times New Roman" w:hAnsi="Times New Roman" w:cs="Times New Roman"/>
          <w:sz w:val="24"/>
          <w:szCs w:val="24"/>
        </w:rPr>
        <w:t xml:space="preserve">Hence, hospitalized sickle cell patients should be closely monitored for development of complications and if they occur, early diagnosis and treatment should be initiated to reduce significant maternal and perinatal morbidity and mortality. </w:t>
      </w:r>
    </w:p>
    <w:p w14:paraId="207B2EB7" w14:textId="7E27C545" w:rsidR="000D3C8A" w:rsidRPr="00FA5FF0" w:rsidRDefault="000D3C8A" w:rsidP="000D3C8A">
      <w:pPr>
        <w:spacing w:line="360" w:lineRule="auto"/>
        <w:rPr>
          <w:rFonts w:ascii="Times New Roman" w:hAnsi="Times New Roman" w:cs="Times New Roman"/>
          <w:b/>
          <w:bCs/>
          <w:sz w:val="24"/>
          <w:szCs w:val="24"/>
        </w:rPr>
      </w:pPr>
      <w:r w:rsidRPr="00FA5FF0">
        <w:rPr>
          <w:rFonts w:ascii="Times New Roman" w:hAnsi="Times New Roman" w:cs="Times New Roman"/>
          <w:b/>
          <w:bCs/>
          <w:sz w:val="24"/>
          <w:szCs w:val="24"/>
        </w:rPr>
        <w:t>REFERENCES:-</w:t>
      </w:r>
    </w:p>
    <w:p w14:paraId="30BBE5D8" w14:textId="77777777" w:rsidR="000D3C8A" w:rsidRPr="00FA5FF0" w:rsidRDefault="000D3C8A" w:rsidP="000D3C8A">
      <w:pPr>
        <w:numPr>
          <w:ilvl w:val="0"/>
          <w:numId w:val="1"/>
        </w:numPr>
        <w:tabs>
          <w:tab w:val="clear" w:pos="360"/>
          <w:tab w:val="num" w:pos="720"/>
        </w:tabs>
        <w:spacing w:line="360" w:lineRule="auto"/>
        <w:rPr>
          <w:rFonts w:ascii="Times New Roman" w:hAnsi="Times New Roman" w:cs="Times New Roman"/>
          <w:sz w:val="24"/>
          <w:szCs w:val="24"/>
        </w:rPr>
      </w:pPr>
      <w:r w:rsidRPr="00FA5FF0">
        <w:rPr>
          <w:rFonts w:ascii="Times New Roman" w:hAnsi="Times New Roman" w:cs="Times New Roman"/>
          <w:sz w:val="24"/>
          <w:szCs w:val="24"/>
        </w:rPr>
        <w:t xml:space="preserve">Weatherall DJ. </w:t>
      </w:r>
      <w:proofErr w:type="spellStart"/>
      <w:r w:rsidRPr="00FA5FF0">
        <w:rPr>
          <w:rFonts w:ascii="Times New Roman" w:hAnsi="Times New Roman" w:cs="Times New Roman"/>
          <w:sz w:val="24"/>
          <w:szCs w:val="24"/>
        </w:rPr>
        <w:t>Abc</w:t>
      </w:r>
      <w:proofErr w:type="spellEnd"/>
      <w:r w:rsidRPr="00FA5FF0">
        <w:rPr>
          <w:rFonts w:ascii="Times New Roman" w:hAnsi="Times New Roman" w:cs="Times New Roman"/>
          <w:sz w:val="24"/>
          <w:szCs w:val="24"/>
        </w:rPr>
        <w:t xml:space="preserve"> of clinical haematology. The hereditary anaemias. BMJ 1997;314:492</w:t>
      </w:r>
    </w:p>
    <w:p w14:paraId="336D4E42" w14:textId="77777777" w:rsidR="000D3C8A" w:rsidRPr="00FA5FF0" w:rsidRDefault="000D3C8A" w:rsidP="000D3C8A">
      <w:pPr>
        <w:numPr>
          <w:ilvl w:val="0"/>
          <w:numId w:val="1"/>
        </w:numPr>
        <w:tabs>
          <w:tab w:val="clear" w:pos="360"/>
          <w:tab w:val="num" w:pos="720"/>
        </w:tabs>
        <w:spacing w:line="360" w:lineRule="auto"/>
        <w:rPr>
          <w:rFonts w:ascii="Times New Roman" w:hAnsi="Times New Roman" w:cs="Times New Roman"/>
          <w:sz w:val="24"/>
          <w:szCs w:val="24"/>
        </w:rPr>
      </w:pPr>
      <w:r w:rsidRPr="00FA5FF0">
        <w:rPr>
          <w:rFonts w:ascii="Times New Roman" w:hAnsi="Times New Roman" w:cs="Times New Roman"/>
          <w:sz w:val="24"/>
          <w:szCs w:val="24"/>
        </w:rPr>
        <w:t xml:space="preserve">Howard J, </w:t>
      </w:r>
      <w:proofErr w:type="spellStart"/>
      <w:r w:rsidRPr="00FA5FF0">
        <w:rPr>
          <w:rFonts w:ascii="Times New Roman" w:hAnsi="Times New Roman" w:cs="Times New Roman"/>
          <w:sz w:val="24"/>
          <w:szCs w:val="24"/>
        </w:rPr>
        <w:t>Oteng</w:t>
      </w:r>
      <w:proofErr w:type="spellEnd"/>
      <w:r w:rsidRPr="00FA5FF0">
        <w:rPr>
          <w:rFonts w:ascii="Times New Roman" w:hAnsi="Times New Roman" w:cs="Times New Roman"/>
          <w:sz w:val="24"/>
          <w:szCs w:val="24"/>
        </w:rPr>
        <w:t xml:space="preserve">-N </w:t>
      </w:r>
      <w:proofErr w:type="spellStart"/>
      <w:r w:rsidRPr="00FA5FF0">
        <w:rPr>
          <w:rFonts w:ascii="Times New Roman" w:hAnsi="Times New Roman" w:cs="Times New Roman"/>
          <w:sz w:val="24"/>
          <w:szCs w:val="24"/>
        </w:rPr>
        <w:t>tim</w:t>
      </w:r>
      <w:proofErr w:type="spellEnd"/>
      <w:r w:rsidRPr="00FA5FF0">
        <w:rPr>
          <w:rFonts w:ascii="Times New Roman" w:hAnsi="Times New Roman" w:cs="Times New Roman"/>
          <w:sz w:val="24"/>
          <w:szCs w:val="24"/>
        </w:rPr>
        <w:t xml:space="preserve"> E. The obstetric management of sickle cell disease. Best </w:t>
      </w:r>
      <w:proofErr w:type="spellStart"/>
      <w:r w:rsidRPr="00FA5FF0">
        <w:rPr>
          <w:rFonts w:ascii="Times New Roman" w:hAnsi="Times New Roman" w:cs="Times New Roman"/>
          <w:sz w:val="24"/>
          <w:szCs w:val="24"/>
        </w:rPr>
        <w:t>Pract</w:t>
      </w:r>
      <w:proofErr w:type="spellEnd"/>
      <w:r w:rsidRPr="00FA5FF0">
        <w:rPr>
          <w:rFonts w:ascii="Times New Roman" w:hAnsi="Times New Roman" w:cs="Times New Roman"/>
          <w:sz w:val="24"/>
          <w:szCs w:val="24"/>
        </w:rPr>
        <w:t xml:space="preserve"> Res Clin </w:t>
      </w:r>
      <w:proofErr w:type="spellStart"/>
      <w:r w:rsidRPr="00FA5FF0">
        <w:rPr>
          <w:rFonts w:ascii="Times New Roman" w:hAnsi="Times New Roman" w:cs="Times New Roman"/>
          <w:sz w:val="24"/>
          <w:szCs w:val="24"/>
        </w:rPr>
        <w:t>Obstet</w:t>
      </w:r>
      <w:proofErr w:type="spellEnd"/>
      <w:r w:rsidRPr="00FA5FF0">
        <w:rPr>
          <w:rFonts w:ascii="Times New Roman" w:hAnsi="Times New Roman" w:cs="Times New Roman"/>
          <w:sz w:val="24"/>
          <w:szCs w:val="24"/>
        </w:rPr>
        <w:t xml:space="preserve"> </w:t>
      </w:r>
      <w:proofErr w:type="spellStart"/>
      <w:r w:rsidRPr="00FA5FF0">
        <w:rPr>
          <w:rFonts w:ascii="Times New Roman" w:hAnsi="Times New Roman" w:cs="Times New Roman"/>
          <w:sz w:val="24"/>
          <w:szCs w:val="24"/>
        </w:rPr>
        <w:t>Gynaecol</w:t>
      </w:r>
      <w:proofErr w:type="spellEnd"/>
      <w:r w:rsidRPr="00FA5FF0">
        <w:rPr>
          <w:rFonts w:ascii="Times New Roman" w:hAnsi="Times New Roman" w:cs="Times New Roman"/>
          <w:sz w:val="24"/>
          <w:szCs w:val="24"/>
        </w:rPr>
        <w:t xml:space="preserve"> 2012;26:25–36.</w:t>
      </w:r>
    </w:p>
    <w:p w14:paraId="03601C10" w14:textId="77777777" w:rsidR="000D3C8A" w:rsidRPr="00FA5FF0" w:rsidRDefault="000D3C8A" w:rsidP="000D3C8A">
      <w:pPr>
        <w:numPr>
          <w:ilvl w:val="0"/>
          <w:numId w:val="1"/>
        </w:numPr>
        <w:tabs>
          <w:tab w:val="clear" w:pos="360"/>
        </w:tabs>
        <w:spacing w:line="360" w:lineRule="auto"/>
        <w:rPr>
          <w:rFonts w:ascii="Times New Roman" w:hAnsi="Times New Roman" w:cs="Times New Roman"/>
          <w:sz w:val="24"/>
          <w:szCs w:val="24"/>
        </w:rPr>
      </w:pPr>
      <w:proofErr w:type="spellStart"/>
      <w:r w:rsidRPr="00FA5FF0">
        <w:rPr>
          <w:rFonts w:ascii="Times New Roman" w:hAnsi="Times New Roman" w:cs="Times New Roman"/>
          <w:sz w:val="24"/>
          <w:szCs w:val="24"/>
        </w:rPr>
        <w:t>Vichinsky</w:t>
      </w:r>
      <w:proofErr w:type="spellEnd"/>
      <w:r w:rsidRPr="00FA5FF0">
        <w:rPr>
          <w:rFonts w:ascii="Times New Roman" w:hAnsi="Times New Roman" w:cs="Times New Roman"/>
          <w:sz w:val="24"/>
          <w:szCs w:val="24"/>
        </w:rPr>
        <w:t xml:space="preserve"> EP, Neumayr LD, </w:t>
      </w:r>
      <w:proofErr w:type="spellStart"/>
      <w:r w:rsidRPr="00FA5FF0">
        <w:rPr>
          <w:rFonts w:ascii="Times New Roman" w:hAnsi="Times New Roman" w:cs="Times New Roman"/>
          <w:sz w:val="24"/>
          <w:szCs w:val="24"/>
        </w:rPr>
        <w:t>Earles</w:t>
      </w:r>
      <w:proofErr w:type="spellEnd"/>
      <w:r w:rsidRPr="00FA5FF0">
        <w:rPr>
          <w:rFonts w:ascii="Times New Roman" w:hAnsi="Times New Roman" w:cs="Times New Roman"/>
          <w:sz w:val="24"/>
          <w:szCs w:val="24"/>
        </w:rPr>
        <w:t xml:space="preserve"> AN, et al. Causes and outcomes of the acute chest syndrome in sickle cell disease. National Acute Chest Syndrome Study Group. N </w:t>
      </w:r>
      <w:proofErr w:type="spellStart"/>
      <w:r w:rsidRPr="00FA5FF0">
        <w:rPr>
          <w:rFonts w:ascii="Times New Roman" w:hAnsi="Times New Roman" w:cs="Times New Roman"/>
          <w:sz w:val="24"/>
          <w:szCs w:val="24"/>
        </w:rPr>
        <w:t>Engl</w:t>
      </w:r>
      <w:proofErr w:type="spellEnd"/>
      <w:r w:rsidRPr="00FA5FF0">
        <w:rPr>
          <w:rFonts w:ascii="Times New Roman" w:hAnsi="Times New Roman" w:cs="Times New Roman"/>
          <w:sz w:val="24"/>
          <w:szCs w:val="24"/>
        </w:rPr>
        <w:t xml:space="preserve"> J Med. 2000;342(25):1855- 1865.</w:t>
      </w:r>
    </w:p>
    <w:p w14:paraId="19213C60" w14:textId="77777777" w:rsidR="000D3C8A" w:rsidRPr="00FA5FF0" w:rsidRDefault="000D3C8A" w:rsidP="000D3C8A">
      <w:pPr>
        <w:numPr>
          <w:ilvl w:val="0"/>
          <w:numId w:val="1"/>
        </w:numPr>
        <w:tabs>
          <w:tab w:val="clear" w:pos="360"/>
          <w:tab w:val="num" w:pos="720"/>
        </w:tabs>
        <w:spacing w:line="360" w:lineRule="auto"/>
        <w:rPr>
          <w:rFonts w:ascii="Times New Roman" w:hAnsi="Times New Roman" w:cs="Times New Roman"/>
          <w:sz w:val="24"/>
          <w:szCs w:val="24"/>
        </w:rPr>
      </w:pPr>
      <w:r w:rsidRPr="00FA5FF0">
        <w:rPr>
          <w:rFonts w:ascii="Times New Roman" w:hAnsi="Times New Roman" w:cs="Times New Roman"/>
          <w:sz w:val="24"/>
          <w:szCs w:val="24"/>
        </w:rPr>
        <w:t xml:space="preserve">S. </w:t>
      </w:r>
      <w:proofErr w:type="spellStart"/>
      <w:r w:rsidRPr="00FA5FF0">
        <w:rPr>
          <w:rFonts w:ascii="Times New Roman" w:hAnsi="Times New Roman" w:cs="Times New Roman"/>
          <w:sz w:val="24"/>
          <w:szCs w:val="24"/>
        </w:rPr>
        <w:t>Inparaj</w:t>
      </w:r>
      <w:proofErr w:type="spellEnd"/>
      <w:r w:rsidRPr="00FA5FF0">
        <w:rPr>
          <w:rFonts w:ascii="Times New Roman" w:hAnsi="Times New Roman" w:cs="Times New Roman"/>
          <w:sz w:val="24"/>
          <w:szCs w:val="24"/>
        </w:rPr>
        <w:t xml:space="preserve">, M. Buckingham, L. Oakley, P.T. Seed, S. Lucas, E. </w:t>
      </w:r>
      <w:proofErr w:type="spellStart"/>
      <w:r w:rsidRPr="00FA5FF0">
        <w:rPr>
          <w:rFonts w:ascii="Times New Roman" w:hAnsi="Times New Roman" w:cs="Times New Roman"/>
          <w:sz w:val="24"/>
          <w:szCs w:val="24"/>
        </w:rPr>
        <w:t>Oteng-Ntim</w:t>
      </w:r>
      <w:proofErr w:type="spellEnd"/>
      <w:r w:rsidRPr="00FA5FF0">
        <w:rPr>
          <w:rFonts w:ascii="Times New Roman" w:hAnsi="Times New Roman" w:cs="Times New Roman"/>
          <w:sz w:val="24"/>
          <w:szCs w:val="24"/>
        </w:rPr>
        <w:t>. Pulmonary complications for women with sickle cell disease in pregnancy: systematic review and meta-analysis.</w:t>
      </w:r>
    </w:p>
    <w:p w14:paraId="2B15E8F2" w14:textId="77777777" w:rsidR="000D3C8A" w:rsidRPr="00FA5FF0" w:rsidRDefault="000D3C8A" w:rsidP="000D3C8A">
      <w:pPr>
        <w:numPr>
          <w:ilvl w:val="0"/>
          <w:numId w:val="1"/>
        </w:numPr>
        <w:tabs>
          <w:tab w:val="clear" w:pos="360"/>
          <w:tab w:val="num" w:pos="720"/>
        </w:tabs>
        <w:spacing w:line="360" w:lineRule="auto"/>
        <w:rPr>
          <w:rFonts w:ascii="Times New Roman" w:hAnsi="Times New Roman" w:cs="Times New Roman"/>
          <w:sz w:val="24"/>
          <w:szCs w:val="24"/>
        </w:rPr>
      </w:pPr>
      <w:r w:rsidRPr="00FA5FF0">
        <w:rPr>
          <w:rFonts w:ascii="Times New Roman" w:hAnsi="Times New Roman" w:cs="Times New Roman"/>
          <w:sz w:val="24"/>
          <w:szCs w:val="24"/>
          <w:lang w:val="en-US"/>
        </w:rPr>
        <w:t>Zhou F, Yu T, Du R, et al. Clinical course and risk factors for mortality of adult inpatients with COVID‐19 in Wuhan, China: a retrospective cohort study. </w:t>
      </w:r>
      <w:r w:rsidRPr="00FA5FF0">
        <w:rPr>
          <w:rFonts w:ascii="Times New Roman" w:hAnsi="Times New Roman" w:cs="Times New Roman"/>
          <w:i/>
          <w:iCs/>
          <w:sz w:val="24"/>
          <w:szCs w:val="24"/>
          <w:lang w:val="en-US"/>
        </w:rPr>
        <w:t>Lancet</w:t>
      </w:r>
      <w:r w:rsidRPr="00FA5FF0">
        <w:rPr>
          <w:rFonts w:ascii="Times New Roman" w:hAnsi="Times New Roman" w:cs="Times New Roman"/>
          <w:sz w:val="24"/>
          <w:szCs w:val="24"/>
          <w:lang w:val="en-US"/>
        </w:rPr>
        <w:t>. 2020; </w:t>
      </w:r>
      <w:r w:rsidRPr="00FA5FF0">
        <w:rPr>
          <w:rFonts w:ascii="Times New Roman" w:hAnsi="Times New Roman" w:cs="Times New Roman"/>
          <w:b/>
          <w:bCs/>
          <w:sz w:val="24"/>
          <w:szCs w:val="24"/>
          <w:lang w:val="en-US"/>
        </w:rPr>
        <w:t>395</w:t>
      </w:r>
      <w:r w:rsidRPr="00FA5FF0">
        <w:rPr>
          <w:rFonts w:ascii="Times New Roman" w:hAnsi="Times New Roman" w:cs="Times New Roman"/>
          <w:sz w:val="24"/>
          <w:szCs w:val="24"/>
          <w:lang w:val="en-US"/>
        </w:rPr>
        <w:t>: 1054‐ 1062.</w:t>
      </w:r>
    </w:p>
    <w:p w14:paraId="02965CFE" w14:textId="77777777" w:rsidR="000D3C8A" w:rsidRPr="00FA5FF0" w:rsidRDefault="000D3C8A" w:rsidP="000D3C8A">
      <w:pPr>
        <w:numPr>
          <w:ilvl w:val="0"/>
          <w:numId w:val="1"/>
        </w:numPr>
        <w:tabs>
          <w:tab w:val="clear" w:pos="360"/>
          <w:tab w:val="num" w:pos="720"/>
        </w:tabs>
        <w:spacing w:line="360" w:lineRule="auto"/>
        <w:rPr>
          <w:rFonts w:ascii="Times New Roman" w:hAnsi="Times New Roman" w:cs="Times New Roman"/>
          <w:sz w:val="24"/>
          <w:szCs w:val="24"/>
        </w:rPr>
      </w:pPr>
      <w:r w:rsidRPr="00FA5FF0">
        <w:rPr>
          <w:rFonts w:ascii="Times New Roman" w:hAnsi="Times New Roman" w:cs="Times New Roman"/>
          <w:sz w:val="24"/>
          <w:szCs w:val="24"/>
        </w:rPr>
        <w:lastRenderedPageBreak/>
        <w:t xml:space="preserve">R.E. Ware, M. de </w:t>
      </w:r>
      <w:proofErr w:type="spellStart"/>
      <w:r w:rsidRPr="00FA5FF0">
        <w:rPr>
          <w:rFonts w:ascii="Times New Roman" w:hAnsi="Times New Roman" w:cs="Times New Roman"/>
          <w:sz w:val="24"/>
          <w:szCs w:val="24"/>
        </w:rPr>
        <w:t>Montalembert</w:t>
      </w:r>
      <w:proofErr w:type="spellEnd"/>
      <w:r w:rsidRPr="00FA5FF0">
        <w:rPr>
          <w:rFonts w:ascii="Times New Roman" w:hAnsi="Times New Roman" w:cs="Times New Roman"/>
          <w:sz w:val="24"/>
          <w:szCs w:val="24"/>
        </w:rPr>
        <w:t xml:space="preserve">, L. </w:t>
      </w:r>
      <w:proofErr w:type="spellStart"/>
      <w:r w:rsidRPr="00FA5FF0">
        <w:rPr>
          <w:rFonts w:ascii="Times New Roman" w:hAnsi="Times New Roman" w:cs="Times New Roman"/>
          <w:sz w:val="24"/>
          <w:szCs w:val="24"/>
        </w:rPr>
        <w:t>Tshilolo</w:t>
      </w:r>
      <w:proofErr w:type="spellEnd"/>
      <w:r w:rsidRPr="00FA5FF0">
        <w:rPr>
          <w:rFonts w:ascii="Times New Roman" w:hAnsi="Times New Roman" w:cs="Times New Roman"/>
          <w:sz w:val="24"/>
          <w:szCs w:val="24"/>
        </w:rPr>
        <w:t xml:space="preserve">, M.R. </w:t>
      </w:r>
      <w:proofErr w:type="spellStart"/>
      <w:r w:rsidRPr="00FA5FF0">
        <w:rPr>
          <w:rFonts w:ascii="Times New Roman" w:hAnsi="Times New Roman" w:cs="Times New Roman"/>
          <w:sz w:val="24"/>
          <w:szCs w:val="24"/>
        </w:rPr>
        <w:t>Abboud</w:t>
      </w:r>
      <w:proofErr w:type="spellEnd"/>
      <w:r w:rsidRPr="00FA5FF0">
        <w:rPr>
          <w:rFonts w:ascii="Times New Roman" w:hAnsi="Times New Roman" w:cs="Times New Roman"/>
          <w:sz w:val="24"/>
          <w:szCs w:val="24"/>
        </w:rPr>
        <w:t>. Sickle cell disease. Lancet, 390 (2017), pp. 311-323</w:t>
      </w:r>
    </w:p>
    <w:p w14:paraId="5D7A1DEA" w14:textId="77777777" w:rsidR="000D3C8A" w:rsidRPr="00FA5FF0" w:rsidRDefault="000D3C8A" w:rsidP="000D3C8A">
      <w:pPr>
        <w:numPr>
          <w:ilvl w:val="0"/>
          <w:numId w:val="1"/>
        </w:numPr>
        <w:tabs>
          <w:tab w:val="clear" w:pos="360"/>
          <w:tab w:val="num" w:pos="720"/>
        </w:tabs>
        <w:spacing w:line="360" w:lineRule="auto"/>
        <w:rPr>
          <w:rFonts w:ascii="Times New Roman" w:hAnsi="Times New Roman" w:cs="Times New Roman"/>
          <w:sz w:val="24"/>
          <w:szCs w:val="24"/>
        </w:rPr>
      </w:pPr>
      <w:proofErr w:type="spellStart"/>
      <w:r w:rsidRPr="00FA5FF0">
        <w:rPr>
          <w:rFonts w:ascii="Times New Roman" w:hAnsi="Times New Roman" w:cs="Times New Roman"/>
          <w:sz w:val="24"/>
          <w:szCs w:val="24"/>
        </w:rPr>
        <w:t>Beerkens</w:t>
      </w:r>
      <w:proofErr w:type="spellEnd"/>
      <w:r w:rsidRPr="00FA5FF0">
        <w:rPr>
          <w:rFonts w:ascii="Times New Roman" w:hAnsi="Times New Roman" w:cs="Times New Roman"/>
          <w:sz w:val="24"/>
          <w:szCs w:val="24"/>
        </w:rPr>
        <w:t xml:space="preserve"> F, John M, </w:t>
      </w:r>
      <w:proofErr w:type="spellStart"/>
      <w:r w:rsidRPr="00FA5FF0">
        <w:rPr>
          <w:rFonts w:ascii="Times New Roman" w:hAnsi="Times New Roman" w:cs="Times New Roman"/>
          <w:sz w:val="24"/>
          <w:szCs w:val="24"/>
        </w:rPr>
        <w:t>Puliafito</w:t>
      </w:r>
      <w:proofErr w:type="spellEnd"/>
      <w:r w:rsidRPr="00FA5FF0">
        <w:rPr>
          <w:rFonts w:ascii="Times New Roman" w:hAnsi="Times New Roman" w:cs="Times New Roman"/>
          <w:sz w:val="24"/>
          <w:szCs w:val="24"/>
        </w:rPr>
        <w:t xml:space="preserve"> B, Corbett V, Edwards C, Tremblay D. COVID-19 pneumonia as a cause of acute chest syndrome in an adult sickle cell patient. Am J </w:t>
      </w:r>
      <w:proofErr w:type="spellStart"/>
      <w:r w:rsidRPr="00FA5FF0">
        <w:rPr>
          <w:rFonts w:ascii="Times New Roman" w:hAnsi="Times New Roman" w:cs="Times New Roman"/>
          <w:sz w:val="24"/>
          <w:szCs w:val="24"/>
        </w:rPr>
        <w:t>Hematol</w:t>
      </w:r>
      <w:proofErr w:type="spellEnd"/>
      <w:r w:rsidRPr="00FA5FF0">
        <w:rPr>
          <w:rFonts w:ascii="Times New Roman" w:hAnsi="Times New Roman" w:cs="Times New Roman"/>
          <w:sz w:val="24"/>
          <w:szCs w:val="24"/>
        </w:rPr>
        <w:t xml:space="preserve">. 2020, </w:t>
      </w:r>
      <w:hyperlink r:id="rId8" w:history="1">
        <w:r w:rsidRPr="00FA5FF0">
          <w:rPr>
            <w:rStyle w:val="Hyperlink"/>
            <w:rFonts w:ascii="Times New Roman" w:hAnsi="Times New Roman" w:cs="Times New Roman"/>
            <w:sz w:val="24"/>
            <w:szCs w:val="24"/>
          </w:rPr>
          <w:t>http://dx.doi.org/10.1002/ajh.25809</w:t>
        </w:r>
      </w:hyperlink>
      <w:r w:rsidRPr="00FA5FF0">
        <w:rPr>
          <w:rFonts w:ascii="Times New Roman" w:hAnsi="Times New Roman" w:cs="Times New Roman"/>
          <w:sz w:val="24"/>
          <w:szCs w:val="24"/>
        </w:rPr>
        <w:t xml:space="preserve">. </w:t>
      </w:r>
      <w:proofErr w:type="spellStart"/>
      <w:r w:rsidRPr="00FA5FF0">
        <w:rPr>
          <w:rFonts w:ascii="Times New Roman" w:hAnsi="Times New Roman" w:cs="Times New Roman"/>
          <w:sz w:val="24"/>
          <w:szCs w:val="24"/>
        </w:rPr>
        <w:t>Epub</w:t>
      </w:r>
      <w:proofErr w:type="spellEnd"/>
      <w:r w:rsidRPr="00FA5FF0">
        <w:rPr>
          <w:rFonts w:ascii="Times New Roman" w:hAnsi="Times New Roman" w:cs="Times New Roman"/>
          <w:sz w:val="24"/>
          <w:szCs w:val="24"/>
        </w:rPr>
        <w:t xml:space="preserve"> ahead of print.</w:t>
      </w:r>
    </w:p>
    <w:p w14:paraId="30DA8934" w14:textId="77777777" w:rsidR="000D3C8A" w:rsidRPr="00FA5FF0" w:rsidRDefault="000D3C8A" w:rsidP="000D3C8A">
      <w:pPr>
        <w:numPr>
          <w:ilvl w:val="0"/>
          <w:numId w:val="1"/>
        </w:numPr>
        <w:tabs>
          <w:tab w:val="clear" w:pos="360"/>
          <w:tab w:val="num" w:pos="720"/>
        </w:tabs>
        <w:spacing w:line="360" w:lineRule="auto"/>
        <w:rPr>
          <w:rFonts w:ascii="Times New Roman" w:hAnsi="Times New Roman" w:cs="Times New Roman"/>
          <w:sz w:val="24"/>
          <w:szCs w:val="24"/>
        </w:rPr>
      </w:pPr>
      <w:r w:rsidRPr="00FA5FF0">
        <w:rPr>
          <w:rFonts w:ascii="Times New Roman" w:hAnsi="Times New Roman" w:cs="Times New Roman"/>
          <w:sz w:val="24"/>
          <w:szCs w:val="24"/>
          <w:lang w:val="en-US"/>
        </w:rPr>
        <w:t xml:space="preserve">M. </w:t>
      </w:r>
      <w:proofErr w:type="spellStart"/>
      <w:r w:rsidRPr="00FA5FF0">
        <w:rPr>
          <w:rFonts w:ascii="Times New Roman" w:hAnsi="Times New Roman" w:cs="Times New Roman"/>
          <w:sz w:val="24"/>
          <w:szCs w:val="24"/>
          <w:lang w:val="en-US"/>
        </w:rPr>
        <w:t>Zaigham</w:t>
      </w:r>
      <w:proofErr w:type="spellEnd"/>
      <w:r w:rsidRPr="00FA5FF0">
        <w:rPr>
          <w:rFonts w:ascii="Times New Roman" w:hAnsi="Times New Roman" w:cs="Times New Roman"/>
          <w:sz w:val="24"/>
          <w:szCs w:val="24"/>
          <w:lang w:val="en-US"/>
        </w:rPr>
        <w:t xml:space="preserve">, O. Andersson. Maternal and perinatal outcomes with COVID-19: a systematic review of 108 pregnancies. Acta </w:t>
      </w:r>
      <w:proofErr w:type="spellStart"/>
      <w:r w:rsidRPr="00FA5FF0">
        <w:rPr>
          <w:rFonts w:ascii="Times New Roman" w:hAnsi="Times New Roman" w:cs="Times New Roman"/>
          <w:sz w:val="24"/>
          <w:szCs w:val="24"/>
          <w:lang w:val="en-US"/>
        </w:rPr>
        <w:t>Obstet</w:t>
      </w:r>
      <w:proofErr w:type="spellEnd"/>
      <w:r w:rsidRPr="00FA5FF0">
        <w:rPr>
          <w:rFonts w:ascii="Times New Roman" w:hAnsi="Times New Roman" w:cs="Times New Roman"/>
          <w:sz w:val="24"/>
          <w:szCs w:val="24"/>
          <w:lang w:val="en-US"/>
        </w:rPr>
        <w:t xml:space="preserve"> </w:t>
      </w:r>
      <w:proofErr w:type="spellStart"/>
      <w:r w:rsidRPr="00FA5FF0">
        <w:rPr>
          <w:rFonts w:ascii="Times New Roman" w:hAnsi="Times New Roman" w:cs="Times New Roman"/>
          <w:sz w:val="24"/>
          <w:szCs w:val="24"/>
          <w:lang w:val="en-US"/>
        </w:rPr>
        <w:t>Gynecol</w:t>
      </w:r>
      <w:proofErr w:type="spellEnd"/>
      <w:r w:rsidRPr="00FA5FF0">
        <w:rPr>
          <w:rFonts w:ascii="Times New Roman" w:hAnsi="Times New Roman" w:cs="Times New Roman"/>
          <w:sz w:val="24"/>
          <w:szCs w:val="24"/>
          <w:lang w:val="en-US"/>
        </w:rPr>
        <w:t xml:space="preserve"> </w:t>
      </w:r>
      <w:proofErr w:type="spellStart"/>
      <w:r w:rsidRPr="00FA5FF0">
        <w:rPr>
          <w:rFonts w:ascii="Times New Roman" w:hAnsi="Times New Roman" w:cs="Times New Roman"/>
          <w:sz w:val="24"/>
          <w:szCs w:val="24"/>
          <w:lang w:val="en-US"/>
        </w:rPr>
        <w:t>Scand</w:t>
      </w:r>
      <w:proofErr w:type="spellEnd"/>
      <w:r w:rsidRPr="00FA5FF0">
        <w:rPr>
          <w:rFonts w:ascii="Times New Roman" w:hAnsi="Times New Roman" w:cs="Times New Roman"/>
          <w:sz w:val="24"/>
          <w:szCs w:val="24"/>
          <w:lang w:val="en-US"/>
        </w:rPr>
        <w:t>, 7 (2020)</w:t>
      </w:r>
    </w:p>
    <w:p w14:paraId="4ACE6FA6" w14:textId="77777777" w:rsidR="000D3C8A" w:rsidRPr="00FA5FF0" w:rsidRDefault="000D3C8A" w:rsidP="000D3C8A">
      <w:pPr>
        <w:pStyle w:val="ListParagraph"/>
        <w:numPr>
          <w:ilvl w:val="0"/>
          <w:numId w:val="1"/>
        </w:numPr>
        <w:spacing w:line="360" w:lineRule="auto"/>
        <w:rPr>
          <w:rFonts w:ascii="Times New Roman" w:hAnsi="Times New Roman" w:cs="Times New Roman"/>
          <w:sz w:val="24"/>
          <w:szCs w:val="24"/>
        </w:rPr>
      </w:pPr>
      <w:r w:rsidRPr="00FA5FF0">
        <w:rPr>
          <w:rFonts w:ascii="Times New Roman" w:hAnsi="Times New Roman" w:cs="Times New Roman"/>
          <w:sz w:val="24"/>
          <w:szCs w:val="24"/>
        </w:rPr>
        <w:t xml:space="preserve">Joshua J Field, </w:t>
      </w:r>
      <w:proofErr w:type="spellStart"/>
      <w:r w:rsidRPr="00FA5FF0">
        <w:rPr>
          <w:rFonts w:ascii="Times New Roman" w:hAnsi="Times New Roman" w:cs="Times New Roman"/>
          <w:sz w:val="24"/>
          <w:szCs w:val="24"/>
        </w:rPr>
        <w:t>MDMichael</w:t>
      </w:r>
      <w:proofErr w:type="spellEnd"/>
      <w:r w:rsidRPr="00FA5FF0">
        <w:rPr>
          <w:rFonts w:ascii="Times New Roman" w:hAnsi="Times New Roman" w:cs="Times New Roman"/>
          <w:sz w:val="24"/>
          <w:szCs w:val="24"/>
        </w:rPr>
        <w:t xml:space="preserve"> R DeBaun, MD, MPH. Acute chest syndrome in adults with sickle cell disease. UpToDate. Last updated June 08, 2020. </w:t>
      </w:r>
      <w:hyperlink r:id="rId9" w:anchor="H292564704" w:history="1">
        <w:r w:rsidRPr="00FA5FF0">
          <w:rPr>
            <w:rStyle w:val="Hyperlink"/>
            <w:rFonts w:ascii="Times New Roman" w:hAnsi="Times New Roman" w:cs="Times New Roman"/>
            <w:sz w:val="24"/>
            <w:szCs w:val="24"/>
          </w:rPr>
          <w:t>https://www.uptodate.com/contents/acute-chest-syndrome-in-adults-with-sickle-cell-disease#H292564704</w:t>
        </w:r>
      </w:hyperlink>
      <w:r w:rsidRPr="00FA5FF0">
        <w:rPr>
          <w:rFonts w:ascii="Times New Roman" w:hAnsi="Times New Roman" w:cs="Times New Roman"/>
          <w:sz w:val="24"/>
          <w:szCs w:val="24"/>
        </w:rPr>
        <w:t xml:space="preserve"> </w:t>
      </w:r>
    </w:p>
    <w:p w14:paraId="6C9E1263" w14:textId="77777777" w:rsidR="000D3C8A" w:rsidRPr="00FA5FF0" w:rsidRDefault="000D3C8A" w:rsidP="000D3C8A">
      <w:pPr>
        <w:pStyle w:val="ListParagraph"/>
        <w:numPr>
          <w:ilvl w:val="0"/>
          <w:numId w:val="1"/>
        </w:numPr>
        <w:spacing w:line="360" w:lineRule="auto"/>
        <w:rPr>
          <w:rFonts w:ascii="Times New Roman" w:hAnsi="Times New Roman" w:cs="Times New Roman"/>
          <w:sz w:val="24"/>
          <w:szCs w:val="24"/>
        </w:rPr>
      </w:pPr>
      <w:r w:rsidRPr="00FA5FF0">
        <w:rPr>
          <w:rFonts w:ascii="Times New Roman" w:hAnsi="Times New Roman" w:cs="Times New Roman"/>
          <w:sz w:val="24"/>
          <w:szCs w:val="24"/>
        </w:rPr>
        <w:t xml:space="preserve">Feldman L, Gross R, </w:t>
      </w:r>
      <w:proofErr w:type="spellStart"/>
      <w:r w:rsidRPr="00FA5FF0">
        <w:rPr>
          <w:rFonts w:ascii="Times New Roman" w:hAnsi="Times New Roman" w:cs="Times New Roman"/>
          <w:sz w:val="24"/>
          <w:szCs w:val="24"/>
        </w:rPr>
        <w:t>Garon</w:t>
      </w:r>
      <w:proofErr w:type="spellEnd"/>
      <w:r w:rsidRPr="00FA5FF0">
        <w:rPr>
          <w:rFonts w:ascii="Times New Roman" w:hAnsi="Times New Roman" w:cs="Times New Roman"/>
          <w:sz w:val="24"/>
          <w:szCs w:val="24"/>
        </w:rPr>
        <w:t xml:space="preserve"> J, et al. Sickle cell patient with an acute chest syndrome and a negative chest X-ray: potential role of the ventilation and perfusion (V/Q) lung scan. Am J </w:t>
      </w:r>
      <w:proofErr w:type="spellStart"/>
      <w:r w:rsidRPr="00FA5FF0">
        <w:rPr>
          <w:rFonts w:ascii="Times New Roman" w:hAnsi="Times New Roman" w:cs="Times New Roman"/>
          <w:sz w:val="24"/>
          <w:szCs w:val="24"/>
        </w:rPr>
        <w:t>Hematol</w:t>
      </w:r>
      <w:proofErr w:type="spellEnd"/>
      <w:r w:rsidRPr="00FA5FF0">
        <w:rPr>
          <w:rFonts w:ascii="Times New Roman" w:hAnsi="Times New Roman" w:cs="Times New Roman"/>
          <w:sz w:val="24"/>
          <w:szCs w:val="24"/>
        </w:rPr>
        <w:t xml:space="preserve"> 2003; 74:214.</w:t>
      </w:r>
    </w:p>
    <w:p w14:paraId="07344D10" w14:textId="77777777" w:rsidR="000D3C8A" w:rsidRPr="00FA5FF0" w:rsidRDefault="000D3C8A" w:rsidP="000D3C8A">
      <w:pPr>
        <w:numPr>
          <w:ilvl w:val="0"/>
          <w:numId w:val="1"/>
        </w:numPr>
        <w:tabs>
          <w:tab w:val="clear" w:pos="360"/>
          <w:tab w:val="num" w:pos="720"/>
        </w:tabs>
        <w:spacing w:line="360" w:lineRule="auto"/>
        <w:rPr>
          <w:rFonts w:ascii="Times New Roman" w:hAnsi="Times New Roman" w:cs="Times New Roman"/>
          <w:sz w:val="24"/>
          <w:szCs w:val="24"/>
        </w:rPr>
      </w:pPr>
      <w:r w:rsidRPr="00FA5FF0">
        <w:rPr>
          <w:rFonts w:ascii="Times New Roman" w:hAnsi="Times New Roman" w:cs="Times New Roman"/>
          <w:sz w:val="24"/>
          <w:szCs w:val="24"/>
        </w:rPr>
        <w:t xml:space="preserve">Hussain FA, Njoku FU, Saraf SL, </w:t>
      </w:r>
      <w:proofErr w:type="spellStart"/>
      <w:r w:rsidRPr="00FA5FF0">
        <w:rPr>
          <w:rFonts w:ascii="Times New Roman" w:hAnsi="Times New Roman" w:cs="Times New Roman"/>
          <w:sz w:val="24"/>
          <w:szCs w:val="24"/>
        </w:rPr>
        <w:t>Molokie</w:t>
      </w:r>
      <w:proofErr w:type="spellEnd"/>
      <w:r w:rsidRPr="00FA5FF0">
        <w:rPr>
          <w:rFonts w:ascii="Times New Roman" w:hAnsi="Times New Roman" w:cs="Times New Roman"/>
          <w:sz w:val="24"/>
          <w:szCs w:val="24"/>
        </w:rPr>
        <w:t xml:space="preserve"> RE, </w:t>
      </w:r>
      <w:proofErr w:type="spellStart"/>
      <w:r w:rsidRPr="00FA5FF0">
        <w:rPr>
          <w:rFonts w:ascii="Times New Roman" w:hAnsi="Times New Roman" w:cs="Times New Roman"/>
          <w:sz w:val="24"/>
          <w:szCs w:val="24"/>
        </w:rPr>
        <w:t>Gordeuk</w:t>
      </w:r>
      <w:proofErr w:type="spellEnd"/>
      <w:r w:rsidRPr="00FA5FF0">
        <w:rPr>
          <w:rFonts w:ascii="Times New Roman" w:hAnsi="Times New Roman" w:cs="Times New Roman"/>
          <w:sz w:val="24"/>
          <w:szCs w:val="24"/>
        </w:rPr>
        <w:t xml:space="preserve"> VR, Han J. COVID-19 infection in patients with sickle cell disease. Br J </w:t>
      </w:r>
      <w:proofErr w:type="spellStart"/>
      <w:r w:rsidRPr="00FA5FF0">
        <w:rPr>
          <w:rFonts w:ascii="Times New Roman" w:hAnsi="Times New Roman" w:cs="Times New Roman"/>
          <w:sz w:val="24"/>
          <w:szCs w:val="24"/>
        </w:rPr>
        <w:t>Haematol</w:t>
      </w:r>
      <w:proofErr w:type="spellEnd"/>
      <w:r w:rsidRPr="00FA5FF0">
        <w:rPr>
          <w:rFonts w:ascii="Times New Roman" w:hAnsi="Times New Roman" w:cs="Times New Roman"/>
          <w:sz w:val="24"/>
          <w:szCs w:val="24"/>
        </w:rPr>
        <w:t>. 2020;189(5):851–2.</w:t>
      </w:r>
    </w:p>
    <w:p w14:paraId="3B7E0C5E" w14:textId="66723221" w:rsidR="000D3C8A" w:rsidRPr="000D3C8A" w:rsidRDefault="000D3C8A" w:rsidP="000D3C8A">
      <w:pPr>
        <w:numPr>
          <w:ilvl w:val="0"/>
          <w:numId w:val="1"/>
        </w:numPr>
        <w:tabs>
          <w:tab w:val="clear" w:pos="360"/>
          <w:tab w:val="num" w:pos="720"/>
        </w:tabs>
        <w:spacing w:line="360" w:lineRule="auto"/>
        <w:rPr>
          <w:rFonts w:ascii="Times New Roman" w:hAnsi="Times New Roman" w:cs="Times New Roman"/>
          <w:sz w:val="24"/>
          <w:szCs w:val="24"/>
        </w:rPr>
      </w:pPr>
      <w:r w:rsidRPr="00FA5FF0">
        <w:rPr>
          <w:rFonts w:ascii="Times New Roman" w:hAnsi="Times New Roman" w:cs="Times New Roman"/>
          <w:sz w:val="24"/>
          <w:szCs w:val="24"/>
        </w:rPr>
        <w:t xml:space="preserve">Nur E, </w:t>
      </w:r>
      <w:proofErr w:type="spellStart"/>
      <w:r w:rsidRPr="00FA5FF0">
        <w:rPr>
          <w:rFonts w:ascii="Times New Roman" w:hAnsi="Times New Roman" w:cs="Times New Roman"/>
          <w:sz w:val="24"/>
          <w:szCs w:val="24"/>
        </w:rPr>
        <w:t>Gaartman</w:t>
      </w:r>
      <w:proofErr w:type="spellEnd"/>
      <w:r w:rsidRPr="00FA5FF0">
        <w:rPr>
          <w:rFonts w:ascii="Times New Roman" w:hAnsi="Times New Roman" w:cs="Times New Roman"/>
          <w:sz w:val="24"/>
          <w:szCs w:val="24"/>
        </w:rPr>
        <w:t xml:space="preserve"> AE, van </w:t>
      </w:r>
      <w:proofErr w:type="spellStart"/>
      <w:r w:rsidRPr="00FA5FF0">
        <w:rPr>
          <w:rFonts w:ascii="Times New Roman" w:hAnsi="Times New Roman" w:cs="Times New Roman"/>
          <w:sz w:val="24"/>
          <w:szCs w:val="24"/>
        </w:rPr>
        <w:t>Tuijn</w:t>
      </w:r>
      <w:proofErr w:type="spellEnd"/>
      <w:r w:rsidRPr="00FA5FF0">
        <w:rPr>
          <w:rFonts w:ascii="Times New Roman" w:hAnsi="Times New Roman" w:cs="Times New Roman"/>
          <w:sz w:val="24"/>
          <w:szCs w:val="24"/>
        </w:rPr>
        <w:t xml:space="preserve"> CF, Tang MW, </w:t>
      </w:r>
      <w:proofErr w:type="spellStart"/>
      <w:r w:rsidRPr="00FA5FF0">
        <w:rPr>
          <w:rFonts w:ascii="Times New Roman" w:hAnsi="Times New Roman" w:cs="Times New Roman"/>
          <w:sz w:val="24"/>
          <w:szCs w:val="24"/>
        </w:rPr>
        <w:t>Biemond</w:t>
      </w:r>
      <w:proofErr w:type="spellEnd"/>
      <w:r w:rsidRPr="00FA5FF0">
        <w:rPr>
          <w:rFonts w:ascii="Times New Roman" w:hAnsi="Times New Roman" w:cs="Times New Roman"/>
          <w:sz w:val="24"/>
          <w:szCs w:val="24"/>
        </w:rPr>
        <w:t xml:space="preserve"> BJ. Vaso-occlusive crisis and acute chest syndrome in sickle cell disease due to 2019 novel coronavirus disease (COVID-19). Am J </w:t>
      </w:r>
      <w:proofErr w:type="spellStart"/>
      <w:r w:rsidRPr="00FA5FF0">
        <w:rPr>
          <w:rFonts w:ascii="Times New Roman" w:hAnsi="Times New Roman" w:cs="Times New Roman"/>
          <w:sz w:val="24"/>
          <w:szCs w:val="24"/>
        </w:rPr>
        <w:t>Hematol</w:t>
      </w:r>
      <w:proofErr w:type="spellEnd"/>
      <w:r w:rsidRPr="00FA5FF0">
        <w:rPr>
          <w:rFonts w:ascii="Times New Roman" w:hAnsi="Times New Roman" w:cs="Times New Roman"/>
          <w:sz w:val="24"/>
          <w:szCs w:val="24"/>
        </w:rPr>
        <w:t>. 2020;95(6):725–6.</w:t>
      </w:r>
    </w:p>
    <w:sectPr w:rsidR="000D3C8A" w:rsidRPr="000D3C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C85984"/>
    <w:multiLevelType w:val="hybridMultilevel"/>
    <w:tmpl w:val="D8E0BC5A"/>
    <w:lvl w:ilvl="0" w:tplc="7CE04414">
      <w:start w:val="1"/>
      <w:numFmt w:val="decimal"/>
      <w:lvlText w:val="%1."/>
      <w:lvlJc w:val="left"/>
      <w:pPr>
        <w:tabs>
          <w:tab w:val="num" w:pos="360"/>
        </w:tabs>
        <w:ind w:left="360" w:hanging="360"/>
      </w:pPr>
    </w:lvl>
    <w:lvl w:ilvl="1" w:tplc="0D3AAC7E" w:tentative="1">
      <w:start w:val="1"/>
      <w:numFmt w:val="decimal"/>
      <w:lvlText w:val="%2."/>
      <w:lvlJc w:val="left"/>
      <w:pPr>
        <w:tabs>
          <w:tab w:val="num" w:pos="1080"/>
        </w:tabs>
        <w:ind w:left="1080" w:hanging="360"/>
      </w:pPr>
    </w:lvl>
    <w:lvl w:ilvl="2" w:tplc="F514A244" w:tentative="1">
      <w:start w:val="1"/>
      <w:numFmt w:val="decimal"/>
      <w:lvlText w:val="%3."/>
      <w:lvlJc w:val="left"/>
      <w:pPr>
        <w:tabs>
          <w:tab w:val="num" w:pos="1800"/>
        </w:tabs>
        <w:ind w:left="1800" w:hanging="360"/>
      </w:pPr>
    </w:lvl>
    <w:lvl w:ilvl="3" w:tplc="A882142E" w:tentative="1">
      <w:start w:val="1"/>
      <w:numFmt w:val="decimal"/>
      <w:lvlText w:val="%4."/>
      <w:lvlJc w:val="left"/>
      <w:pPr>
        <w:tabs>
          <w:tab w:val="num" w:pos="2520"/>
        </w:tabs>
        <w:ind w:left="2520" w:hanging="360"/>
      </w:pPr>
    </w:lvl>
    <w:lvl w:ilvl="4" w:tplc="6EB6AE1A" w:tentative="1">
      <w:start w:val="1"/>
      <w:numFmt w:val="decimal"/>
      <w:lvlText w:val="%5."/>
      <w:lvlJc w:val="left"/>
      <w:pPr>
        <w:tabs>
          <w:tab w:val="num" w:pos="3240"/>
        </w:tabs>
        <w:ind w:left="3240" w:hanging="360"/>
      </w:pPr>
    </w:lvl>
    <w:lvl w:ilvl="5" w:tplc="A71A049E" w:tentative="1">
      <w:start w:val="1"/>
      <w:numFmt w:val="decimal"/>
      <w:lvlText w:val="%6."/>
      <w:lvlJc w:val="left"/>
      <w:pPr>
        <w:tabs>
          <w:tab w:val="num" w:pos="3960"/>
        </w:tabs>
        <w:ind w:left="3960" w:hanging="360"/>
      </w:pPr>
    </w:lvl>
    <w:lvl w:ilvl="6" w:tplc="9814A714" w:tentative="1">
      <w:start w:val="1"/>
      <w:numFmt w:val="decimal"/>
      <w:lvlText w:val="%7."/>
      <w:lvlJc w:val="left"/>
      <w:pPr>
        <w:tabs>
          <w:tab w:val="num" w:pos="4680"/>
        </w:tabs>
        <w:ind w:left="4680" w:hanging="360"/>
      </w:pPr>
    </w:lvl>
    <w:lvl w:ilvl="7" w:tplc="2C1C8684" w:tentative="1">
      <w:start w:val="1"/>
      <w:numFmt w:val="decimal"/>
      <w:lvlText w:val="%8."/>
      <w:lvlJc w:val="left"/>
      <w:pPr>
        <w:tabs>
          <w:tab w:val="num" w:pos="5400"/>
        </w:tabs>
        <w:ind w:left="5400" w:hanging="360"/>
      </w:pPr>
    </w:lvl>
    <w:lvl w:ilvl="8" w:tplc="1AC08790" w:tentative="1">
      <w:start w:val="1"/>
      <w:numFmt w:val="decimal"/>
      <w:lvlText w:val="%9."/>
      <w:lvlJc w:val="left"/>
      <w:pPr>
        <w:tabs>
          <w:tab w:val="num" w:pos="6120"/>
        </w:tabs>
        <w:ind w:left="61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C8A"/>
    <w:rsid w:val="000D3C8A"/>
    <w:rsid w:val="003C7B03"/>
    <w:rsid w:val="004817D0"/>
    <w:rsid w:val="004D7E65"/>
    <w:rsid w:val="00684732"/>
    <w:rsid w:val="007679D2"/>
    <w:rsid w:val="00AA681C"/>
    <w:rsid w:val="00BA1E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26771"/>
  <w15:chartTrackingRefBased/>
  <w15:docId w15:val="{CBF5BF12-D1E2-41E0-A375-F9B42C953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C8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3C8A"/>
    <w:rPr>
      <w:color w:val="0563C1" w:themeColor="hyperlink"/>
      <w:u w:val="single"/>
    </w:rPr>
  </w:style>
  <w:style w:type="paragraph" w:styleId="ListParagraph">
    <w:name w:val="List Paragraph"/>
    <w:basedOn w:val="Normal"/>
    <w:uiPriority w:val="34"/>
    <w:qFormat/>
    <w:rsid w:val="000D3C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6341505">
      <w:bodyDiv w:val="1"/>
      <w:marLeft w:val="0"/>
      <w:marRight w:val="0"/>
      <w:marTop w:val="0"/>
      <w:marBottom w:val="0"/>
      <w:divBdr>
        <w:top w:val="none" w:sz="0" w:space="0" w:color="auto"/>
        <w:left w:val="none" w:sz="0" w:space="0" w:color="auto"/>
        <w:bottom w:val="none" w:sz="0" w:space="0" w:color="auto"/>
        <w:right w:val="none" w:sz="0" w:space="0" w:color="auto"/>
      </w:divBdr>
      <w:divsChild>
        <w:div w:id="21346508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02/ajh.25809"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uptodate.com/contents/acute-chest-syndrome-in-adults-with-sickle-cell-dise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6</Pages>
  <Words>1928</Words>
  <Characters>10996</Characters>
  <Application>Microsoft Office Word</Application>
  <DocSecurity>0</DocSecurity>
  <Lines>91</Lines>
  <Paragraphs>25</Paragraphs>
  <ScaleCrop>false</ScaleCrop>
  <Company/>
  <LinksUpToDate>false</LinksUpToDate>
  <CharactersWithSpaces>12899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cp:revision>
  <dcterms:created xsi:type="dcterms:W3CDTF">2020-09-30T14:55:00Z</dcterms:created>
  <dcterms:modified xsi:type="dcterms:W3CDTF">2020-09-30T15:49:00Z</dcterms:modified>
</cp:coreProperties>
</file>